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Flourishing Scale (FS)</w:t>
      </w:r>
    </w:p>
    <w:p>
      <w:pPr>
        <w:spacing w:lineRule="auto"/>
      </w:pPr>
      <w:r>
        <w:rPr/>
        <w:drawing>
          <wp:inline distB="0" distL="0" distR="0" distT="0">
            <wp:extent cx="762000" cy="819150"/>
            <wp:effectExtent b="0" l="0" r="0" t="0"/>
            <wp:docPr id="2" name="image-LKqziTnG3k1j3shLSpUoi.png"/>
            <a:graphic>
              <a:graphicData uri="http://schemas.openxmlformats.org/drawingml/2006/picture">
                <pic:pic>
                  <pic:nvPicPr>
                    <pic:cNvPr id="2" name="image-LKqziTnG3k1j3shLSpUoi.png" descr="This measure is for adults"/>
                    <pic:cNvPicPr/>
                  </pic:nvPicPr>
                  <pic:blipFill>
                    <a:blip r:embed="rId7" cstate="print"/>
                    <a:srcRect b="0" l="0" r="0" t="0"/>
                    <a:stretch>
                      <a:fillRect/>
                    </a:stretch>
                  </pic:blipFill>
                  <pic:spPr>
                    <a:xfrm>
                      <a:off x="0" y="0"/>
                      <a:ext cx="762000" cy="819150"/>
                    </a:xfrm>
                    <a:prstGeom prst="rect"/>
                  </pic:spPr>
                </pic:pic>
              </a:graphicData>
            </a:graphic>
          </wp:inline>
        </w:drawing>
      </w:r>
    </w:p>
    <w:p>
      <w:pPr>
        <w:spacing w:lineRule="auto"/>
      </w:pPr>
      <w:r>
        <w:rPr/>
        <w:drawing>
          <wp:inline distB="0" distL="0" distR="0" distT="0">
            <wp:extent cx="762000" cy="819150"/>
            <wp:effectExtent b="0" l="0" r="0" t="0"/>
            <wp:docPr id="4" name="image-NTGP_Z_ZwtCxlgPsWD_tG.png"/>
            <a:graphic>
              <a:graphicData uri="http://schemas.openxmlformats.org/drawingml/2006/picture">
                <pic:pic>
                  <pic:nvPicPr>
                    <pic:cNvPr id="4" name="image-NTGP_Z_ZwtCxlgPsWD_tG.png" descr="This is a free measure"/>
                    <pic:cNvPicPr/>
                  </pic:nvPicPr>
                  <pic:blipFill>
                    <a:blip r:embed="rId9" cstate="print"/>
                    <a:srcRect b="0" l="0" r="0" t="0"/>
                    <a:stretch>
                      <a:fillRect/>
                    </a:stretch>
                  </pic:blipFill>
                  <pic:spPr>
                    <a:xfrm>
                      <a:off x="0" y="0"/>
                      <a:ext cx="762000" cy="819150"/>
                    </a:xfrm>
                    <a:prstGeom prst="rect"/>
                  </pic:spPr>
                </pic:pic>
              </a:graphicData>
            </a:graphic>
          </wp:inline>
        </w:drawing>
      </w:r>
    </w:p>
    <w:p>
      <w:pPr>
        <w:spacing w:lineRule="auto"/>
      </w:pPr>
      <w:r>
        <w:rPr/>
        <w:t xml:space="preserve">The Flourishing Scale measures wellbeing by the PERMA model, modified to include self-esteem, purpose, and optimism. This scale contains eight items. It is reliable and valid and has been shown to be appropriate for any adult. If it is used in any publication, proper citation is required. We recommend visiting Ed Diener’s website for information and articles on this and other scales.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Pros for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 for Schools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w:t>
            </w:r>
            <w:r>
              <w:rPr/>
              <w:br w:type="textWrapping"/>
            </w:r>
            <w:r>
              <w:rPr/>
              <w:t xml:space="preserve">Valid and reliable</w:t>
            </w:r>
            <w:r>
              <w:rPr/>
              <w:br w:type="textWrapping"/>
            </w:r>
            <w:r>
              <w:rPr/>
              <w:t xml:space="preserve">Translations available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Possibly too short for robust understanding (8-items)</w:t>
            </w:r>
            <w:r>
              <w:rPr/>
              <w:br w:type="textWrapping"/>
            </w:r>
            <w:r>
              <w:rPr/>
              <w:t xml:space="preserve">Not specific to workplaces</w:t>
            </w:r>
          </w:p>
        </w:tc>
      </w:tr>
    </w:tbl>
    <w:p>
      <w:pPr>
        <w:spacing w:lineRule="auto"/>
      </w:pPr>
      <w:r>
        <w:rPr/>
      </w:r>
    </w:p>
    <w:p>
      <w:pPr>
        <w:pStyle w:val="Heading3"/>
        <w:spacing w:lineRule="auto"/>
      </w:pPr>
      <w:r>
        <w:rPr/>
        <w:t xml:space="preserve">Suggestions for Further Research</w:t>
      </w:r>
    </w:p>
    <w:p>
      <w:pPr>
        <w:spacing w:lineRule="auto"/>
      </w:pPr>
      <w:r>
        <w:rPr/>
        <w:t xml:space="preserve">Diener, E. (n.d.). </w:t>
      </w:r>
      <w:hyperlink r:id="rId10">
        <w:r>
          <w:rPr>
            <w:rStyle w:val="Hyperlink"/>
          </w:rPr>
          <w:t xml:space="preserve">https://eddiener.com/</w:t>
        </w:r>
      </w:hyperlink>
      <w:r>
        <w:rPr/>
        <w:t xml:space="preserve"> </w:t>
      </w:r>
    </w:p>
    <w:p>
      <w:pPr>
        <w:spacing w:lineRule="auto"/>
      </w:pPr>
      <w:r>
        <w:rPr/>
        <w:t xml:space="preserve">Diener, E., Wirtz, D., Tov, W., Kim-Prieto, C., Choi, D., Oishi, S., &amp; Biswas-Diener, R. (2009). New measures of well-being: Flourishing and positive and negative feelings. </w:t>
      </w:r>
      <w:r>
        <w:rPr/>
        <w:t xml:space="preserve">Social Indicators Research</w:t>
      </w:r>
      <w:r>
        <w:rPr/>
        <w:t xml:space="preserve">, </w:t>
      </w:r>
      <w:r>
        <w:rPr/>
        <w:t xml:space="preserve">39,</w:t>
      </w:r>
      <w:r>
        <w:rPr/>
        <w:t xml:space="preserve"> 247-266.</w:t>
      </w:r>
    </w:p>
    <w:p>
      <w:pPr>
        <w:spacing w:lineRule="auto"/>
      </w:pPr>
      <w:r>
        <w:rPr/>
        <w:t xml:space="preserve">MIDSS. Flourishing Scale (FS). </w:t>
      </w:r>
      <w:r>
        <w:rPr/>
        <w:t xml:space="preserve">Measurement Instrument Database for the Social Sciences.</w:t>
      </w:r>
      <w:hyperlink r:id="rId11">
        <w:r>
          <w:rPr>
            <w:rStyle w:val="Hyperlink"/>
          </w:rPr>
          <w:t xml:space="preserve">www.midss.org/content/flourishing-scale-fs-0</w:t>
        </w:r>
      </w:hyperlink>
    </w:p>
    <w:p>
      <w:pPr>
        <w:spacing w:lineRule="auto"/>
      </w:pPr>
      <w:r>
        <w:rPr/>
        <w:t xml:space="preserve">Read this online at </w:t>
      </w:r>
      <w:hyperlink r:id="rId12">
        <w:r>
          <w:rPr>
            <w:rStyle w:val="Hyperlink"/>
          </w:rPr>
          <w:t xml:space="preserve">https://edtechbooks.org/wellbeing/FS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m6UTGDHf6ndQhUGeUh9Su.png" TargetMode="Internal"/>
  <Relationship Id="rId7" Type="http://schemas.openxmlformats.org/officeDocument/2006/relationships/image" Target="media/image-LKqziTnG3k1j3shLSpUoi.png" TargetMode="Internal"/>
  <Relationship Id="rId8" Type="http://schemas.openxmlformats.org/officeDocument/2006/relationships/image" Target="media/image-7Q6aGX8qpbl2CUzUasEFS.png" TargetMode="Internal"/>
  <Relationship Id="rId9" Type="http://schemas.openxmlformats.org/officeDocument/2006/relationships/image" Target="media/image-NTGP_Z_ZwtCxlgPsWD_tG.png" TargetMode="Internal"/>
  <Relationship Id="rId10" Type="http://schemas.openxmlformats.org/officeDocument/2006/relationships/hyperlink" Target="https://eddiener.com/" TargetMode="External"/>
  <Relationship Id="rId11" Type="http://schemas.openxmlformats.org/officeDocument/2006/relationships/hyperlink" Target="http://www.midss.org/content/flourishing-scale-fs-0" TargetMode="External"/>
  <Relationship Id="rId12" Type="http://schemas.openxmlformats.org/officeDocument/2006/relationships/hyperlink" Target="https://edtechbooks.org/wellbeing/FS"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