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Mental Health Continuum Short and Long Form (MHC-SF)</w:t>
      </w:r>
    </w:p>
    <w:p>
      <w:pPr>
        <w:spacing w:lineRule="auto"/>
      </w:pPr>
      <w:r>
        <w:rPr/>
        <w:drawing>
          <wp:inline distB="0" distL="0" distR="0" distT="0">
            <wp:extent cx="762000" cy="819150"/>
            <wp:effectExtent b="0" l="0" r="0" t="0"/>
            <wp:docPr id="2" name="image-ARxXsn1gnx7nfeMNWPja-.png"/>
            <a:graphic>
              <a:graphicData uri="http://schemas.openxmlformats.org/drawingml/2006/picture">
                <pic:pic>
                  <pic:nvPicPr>
                    <pic:cNvPr id="2" name="image-ARxXsn1gnx7nfeMNWPja-.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p1IA_VmdLmCA0g8y7Ed5H.png"/>
            <a:graphic>
              <a:graphicData uri="http://schemas.openxmlformats.org/drawingml/2006/picture">
                <pic:pic>
                  <pic:nvPicPr>
                    <pic:cNvPr id="4" name="image-p1IA_VmdLmCA0g8y7Ed5H.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This instrument measures emotional, social, and psychological wellbeing via 14 items that participants respond to on a 6-point Likert scale from </w:t>
      </w:r>
      <w:r>
        <w:rPr/>
        <w:t xml:space="preserve">never</w:t>
      </w:r>
      <w:r>
        <w:rPr/>
        <w:t xml:space="preserve"> to </w:t>
      </w:r>
      <w:r>
        <w:rPr/>
        <w:t xml:space="preserve">every day</w:t>
      </w:r>
      <w:r>
        <w:rPr/>
        <w:t xml:space="preserve">. Items are summed for a total score out of 70, with higher scores indicating greater wellbeing. It is available in French, Korean, Chinese, Japanese, Dutch, Norwegian, Swedish, and Finnish, with more translations coming as researchers continue to translate it for their use. It has been used in hundreds of studies over the two decades since its creation. There is also a longer form with 40 items.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translations available</w:t>
            </w:r>
            <w:r>
              <w:rPr/>
              <w:br w:type="textWrapping"/>
            </w:r>
            <w:r>
              <w:rPr/>
              <w:t xml:space="preserve">Although used primarily with adults, also useful for 12-18-year-olds</w:t>
            </w:r>
            <w:r>
              <w:rPr/>
              <w:br w:type="textWrapping"/>
            </w:r>
            <w:r>
              <w:rPr/>
              <w:t xml:space="preserve">Extensive overview of wellbeing for = relatively few items</w:t>
            </w:r>
            <w:r>
              <w:rPr/>
              <w:br w:type="textWrapping"/>
            </w:r>
            <w:r>
              <w:rPr/>
              <w:t xml:space="preserve">Long and short forms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Keyes, C. L. M. (2009). Atlanta: Brief description of the Mental Health Continuum short form (MHC-SF). </w:t>
      </w:r>
      <w:hyperlink r:id="rId10">
        <w:r>
          <w:rPr>
            <w:rStyle w:val="Hyperlink"/>
          </w:rPr>
          <w:t xml:space="preserve">https://edtechbooks.org/-gEPU</w:t>
        </w:r>
      </w:hyperlink>
      <w:r>
        <w:rPr/>
        <w:t xml:space="preserve"> </w:t>
      </w:r>
    </w:p>
    <w:p>
      <w:pPr>
        <w:spacing w:lineRule="auto"/>
      </w:pPr>
      <w:r>
        <w:rPr/>
        <w:t xml:space="preserve">Lee Kum Sheung Center for Health and Happiness. Mental Health Continuum Short Form. </w:t>
      </w:r>
      <w:hyperlink r:id="rId11">
        <w:r>
          <w:rPr>
            <w:rStyle w:val="Hyperlink"/>
          </w:rPr>
          <w:t xml:space="preserve">https://edtechbooks.org/-DqM</w:t>
        </w:r>
      </w:hyperlink>
      <w:r>
        <w:rPr/>
        <w:t xml:space="preserve">. </w:t>
      </w:r>
    </w:p>
    <w:p>
      <w:pPr>
        <w:spacing w:lineRule="auto"/>
      </w:pPr>
      <w:r>
        <w:rPr/>
        <w:t xml:space="preserve">Read this online at </w:t>
      </w:r>
      <w:hyperlink r:id="rId12">
        <w:r>
          <w:rPr>
            <w:rStyle w:val="Hyperlink"/>
          </w:rPr>
          <w:t xml:space="preserve">https://edtechbooks.org/wellbeing/MHC_SF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wJg6Xc4SrHJ1Z86vmdj0.png" TargetMode="Internal"/>
  <Relationship Id="rId7" Type="http://schemas.openxmlformats.org/officeDocument/2006/relationships/image" Target="media/image-ARxXsn1gnx7nfeMNWPja-.png" TargetMode="Internal"/>
  <Relationship Id="rId8" Type="http://schemas.openxmlformats.org/officeDocument/2006/relationships/image" Target="media/image-9yaCs4hnuAlMRLc-zsYag.png" TargetMode="Internal"/>
  <Relationship Id="rId9" Type="http://schemas.openxmlformats.org/officeDocument/2006/relationships/image" Target="media/image-p1IA_VmdLmCA0g8y7Ed5H.png" TargetMode="Internal"/>
  <Relationship Id="rId10" Type="http://schemas.openxmlformats.org/officeDocument/2006/relationships/hyperlink" Target="http://www.sociology.emory.edu/ckeyes/" TargetMode="External"/>
  <Relationship Id="rId11" Type="http://schemas.openxmlformats.org/officeDocument/2006/relationships/hyperlink" Target="https://www.hsph.harvard.edu/health-happiness/mental-health-continuum-short-form/" TargetMode="External"/>
  <Relationship Id="rId12" Type="http://schemas.openxmlformats.org/officeDocument/2006/relationships/hyperlink" Target="https://edtechbooks.org/wellbeing/MHC_SF"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