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Liberatory Design Thinking for Equity-Centered Instructional Design: A Systems Thinking Analysis</w:t>
      </w:r>
    </w:p>
    <w:p>
      <w:pPr>
        <w:spacing w:lineRule="auto"/>
      </w:pPr>
      <w:r>
        <w:rPr/>
        <w:t xml:space="preserve">Pal, A.</w:t>
      </w:r>
    </w:p>
    <w:p>
      <w:pPr>
        <w:spacing w:lineRule="auto"/>
      </w:pPr>
      <w:r>
        <w:rPr/>
        <w:t xml:space="preserve">As per the National Equity Project, any system that produces inequities, injustices, and inequalities is often a product of design. Research has shown that systemic inequity often results from the design process and can rupture the power balance, producing inequitable relationships in the social justice arena (NEP, n.d.). Equity-centered systems design is pivotal in dismantling systems of oppression and empowering people of color, people with disabilities, the LGBTQ+ community, the indigenous, and other marginalized communities. An equity-centered liberatory design thinking approach can support instructional designers in identifying and addressing the problems of inequities in an existing system. By considering the ethos and strategies necessary to center equity by design, instructional designers can provide a platform and opportunity for all stakeholders to practice converging and divergent thinking.  </w:t>
      </w:r>
    </w:p>
    <w:p>
      <w:pPr>
        <w:pStyle w:val="Heading2"/>
        <w:spacing w:lineRule="auto"/>
      </w:pPr>
      <w:r>
        <w:rPr/>
        <w:t xml:space="preserve">Introduction</w:t>
      </w:r>
    </w:p>
    <w:p>
      <w:pPr>
        <w:spacing w:lineRule="auto"/>
      </w:pPr>
      <w:r>
        <w:rPr/>
        <w:t xml:space="preserve">Liberatory design thinking is an equity-centered design framework that was co-created by Tania Anaissie, Victor Cary, David Clifford, Tom Malarkey, and Susie Wise during a collaboration in the year 2016 and 2017 with the National Equity Project and Stanford d.school’s K12 Lab expanding the familial design thinking process (Anaissie et al., 2017). While design thinking has five phases —Empathize, Define, Ideate, Prototype, and Test (The Interaction Design Foundation, n.d), liberatory design thinking has two added phases: Notice and Reflect, as shown in Figure 1. These phases in the context of learning experience design focus on what instructional designers can do to add equity to designing and developing learning experiences. In the liberatory context, systems thinking can identify, analyze, and challenge the systems of power and design interventions and strategies for promoting social justice and liberation. It involves identifying the root causes of inequities and analyzing how different systems and structures contribute to or reinforce those inequities.</w:t>
      </w:r>
    </w:p>
    <w:p>
      <w:pPr>
        <w:spacing w:lineRule="auto"/>
      </w:pPr>
      <w:r>
        <w:rPr/>
        <w:t xml:space="preserve">Figure 1</w:t>
      </w:r>
    </w:p>
    <w:p>
      <w:pPr>
        <w:spacing w:lineRule="auto"/>
      </w:pPr>
      <w:r>
        <w:rPr/>
        <w:t xml:space="preserve">Liberatory Design Thinking Framework (Anaissie et al., 2017)</w:t>
      </w:r>
    </w:p>
    <w:p>
      <w:pPr>
        <w:spacing w:lineRule="auto"/>
      </w:pPr>
      <w:r>
        <w:rPr/>
        <w:br w:type="textWrapping"/>
      </w:r>
    </w:p>
    <w:p>
      <w:pPr>
        <w:pStyle w:val="Heading2"/>
        <w:spacing w:lineRule="auto"/>
      </w:pPr>
      <w:r>
        <w:rPr/>
        <w:t xml:space="preserve">Design Challenge</w:t>
      </w:r>
    </w:p>
    <w:p>
      <w:pPr>
        <w:spacing w:lineRule="auto"/>
      </w:pPr>
      <w:r>
        <w:rPr/>
        <w:t xml:space="preserve">The nonprofit in this design case experienced high turnover during COVID-19. The exit survey revealed that a lack of a sense of belonging, resource availability, and team member inclusion were major concerns leading to high exit rates. To improve team member experience, the organization prioritized hiring diverse employees along with DEI initiatives. And the L&amp;D team was asked to redesign the onboarding learning experience. The author who was the sole instructional designer on this project, introduced the ‘liberatory design thinking’ framework for redesigning the onboarding learning program and inquired two significant questions: </w:t>
      </w:r>
    </w:p>
    <w:p>
      <w:pPr>
        <w:numPr>
          <w:ilvl w:val="0"/>
          <w:numId w:val="1"/>
        </w:numPr>
        <w:spacing w:lineRule="auto"/>
      </w:pPr>
      <w:r>
        <w:rPr/>
        <w:t xml:space="preserve">How do instructional designers implement an equity-centered framework to design learning experiences that disassemble structural inequities? </w:t>
      </w:r>
    </w:p>
    <w:p>
      <w:pPr>
        <w:numPr>
          <w:ilvl w:val="0"/>
          <w:numId w:val="1"/>
        </w:numPr>
        <w:spacing w:lineRule="auto"/>
      </w:pPr>
      <w:r>
        <w:rPr/>
        <w:t xml:space="preserve">Second, how might instructional designers promote effective instructions and learning strategies within the constraints and interdependencies in an existing system? </w:t>
      </w:r>
    </w:p>
    <w:p>
      <w:pPr>
        <w:pStyle w:val="Heading2"/>
        <w:spacing w:lineRule="auto"/>
      </w:pPr>
      <w:r>
        <w:rPr/>
        <w:t xml:space="preserve">Design Decision and Outcome</w:t>
      </w:r>
    </w:p>
    <w:p>
      <w:pPr>
        <w:spacing w:lineRule="auto"/>
      </w:pPr>
      <w:r>
        <w:rPr/>
        <w:t xml:space="preserve">The liberatory design thinking framework is non-linear and agile, allowing for simultaneous generation, presentation, and evaluation of design directions and alternatives. For this project, the tools were tailored and customized to fit the requirements and system constraints. The project started with creating a plan, keeping the liberatory design thinking framework as its core philosophy. </w:t>
      </w:r>
    </w:p>
    <w:p>
      <w:pPr>
        <w:spacing w:lineRule="auto"/>
      </w:pPr>
      <w:r>
        <w:rPr/>
        <w:t xml:space="preserve">Figure 2</w:t>
      </w:r>
    </w:p>
    <w:p>
      <w:pPr>
        <w:spacing w:lineRule="auto"/>
      </w:pPr>
      <w:r>
        <w:rPr/>
        <w:t xml:space="preserve">Project plan for liberatory designing thinking phases (Self-Design)</w:t>
      </w:r>
    </w:p>
    <w:p>
      <w:pPr>
        <w:pStyle w:val="Heading2"/>
        <w:spacing w:lineRule="auto"/>
      </w:pPr>
      <w:r>
        <w:rPr/>
        <w:t xml:space="preserve">The Notice Phase</w:t>
      </w:r>
      <w:r>
        <w:rPr/>
        <w:br w:type="textWrapping"/>
      </w:r>
    </w:p>
    <w:p>
      <w:pPr>
        <w:spacing w:lineRule="auto"/>
      </w:pPr>
      <w:r>
        <w:rPr/>
        <w:t xml:space="preserve">The first initiative taken before moving on with the project was to create a design team. Traditionally, people who participated in the design team were from the learning and development department consisting of instructional designers, training facilitators, learning administrators, content writers, project managers, leaders, and subject matter experts. In order to bring a liberatory mindset, multiple stakeholders were invited who were impacted by learning designs, i.e., the team member representatives. These representatives were from the 'team member resource groups' with shared characteristics or life experiences. The objective was to amplify the voices of traditionally under-represented people and marginalized communities by providing them a platform for the members of these communities and their allies to connect in the organization. When the author introduced the 'liberatory design thinking' framework, the senior leadership provided excellent support as it aligned with the organization's inclusion mandate. However, the thought of inviting external team members to the design team created tension in the existing team. The tensions were due to insecurities about giving up the power of design decisions and overlapping team member roles and responsibilities. In order to address these concerns, it was decided that the design team would be divided into two sub-teams: the 'core' team and the 'reflection' team. The 'core' team consisted of members from the learning and development department, with clearly defined roles for each member. The reflection team consisted of the TMRG representatives and subject matter experts to provide crucial feedback at each iteration and have a final voice for a more inclusive learning design. </w:t>
      </w:r>
    </w:p>
    <w:p>
      <w:pPr>
        <w:spacing w:lineRule="auto"/>
      </w:pPr>
      <w:r>
        <w:rPr/>
        <w:t xml:space="preserve">Second, to notice with empathy, both the core team and the reflection team started a self-reflection exercise to notice shared values, identities, and biases. The reflection exercise helped to notice constraints and opportunities and negotiate with key stakeholders and people in power to influence the overall design. The self-reflection exercise consisted of questions, as shown in Table 1.</w:t>
      </w:r>
    </w:p>
    <w:p>
      <w:pPr>
        <w:spacing w:lineRule="auto"/>
      </w:pPr>
      <w:r>
        <w:rPr/>
        <w:t xml:space="preserve">Table 1</w:t>
      </w:r>
    </w:p>
    <w:p>
      <w:pPr>
        <w:spacing w:lineRule="auto"/>
      </w:pPr>
      <w:r>
        <w:rPr/>
        <w:t xml:space="preserve">Liberatory questions for the Notice Phase (Self-Design)</w:t>
      </w:r>
    </w:p>
    <w:p>
      <w:pPr>
        <w:pStyle w:val="Heading2"/>
        <w:spacing w:lineRule="auto"/>
      </w:pPr>
      <w:r>
        <w:rPr/>
        <w:t xml:space="preserve">The Empathy Phase</w:t>
      </w:r>
    </w:p>
    <w:p>
      <w:pPr>
        <w:spacing w:lineRule="auto"/>
      </w:pPr>
      <w:r>
        <w:rPr/>
        <w:t xml:space="preserve">The Empathy phase is core to understanding the people for whom the learning experience is designed. During this phase, the 'core' team collected data through ethnographic methods, including observations, interviews, and focus group discussions from both the 'reflection' team and with team members who joined the organization in the past 12 months and were impacted by the current onboarding and orientation learning program. The core team focused on liberatory questions that opened the door for more profound and meaningful data collection, as shown in Table 2.</w:t>
      </w:r>
    </w:p>
    <w:p>
      <w:pPr>
        <w:spacing w:lineRule="auto"/>
      </w:pPr>
      <w:r>
        <w:rPr/>
        <w:t xml:space="preserve">Table 2</w:t>
      </w:r>
    </w:p>
    <w:p>
      <w:pPr>
        <w:spacing w:lineRule="auto"/>
      </w:pPr>
      <w:r>
        <w:rPr/>
        <w:t xml:space="preserve"> Liberatory questions for the Empathy phase (Self-Design)</w:t>
      </w:r>
    </w:p>
    <w:p>
      <w:pPr>
        <w:spacing w:lineRule="auto"/>
      </w:pPr>
      <w:r>
        <w:rPr/>
        <w:t xml:space="preserve">Another critical aspect that followed throughout the empathy phase was creating an environment of psychological safety. In a systems approach, it is a shared expectation that leaders or people with power to influence will not embarrass, reject, or punish each other for sharing ideas, taking risks, or soliciting feedback (Staff, 2022). Hence, the ‘core’ team took the following steps to provide a platform that promotes safety: </w:t>
      </w:r>
    </w:p>
    <w:p>
      <w:pPr>
        <w:numPr>
          <w:ilvl w:val="0"/>
          <w:numId w:val="2"/>
        </w:numPr>
        <w:spacing w:lineRule="auto"/>
      </w:pPr>
      <w:r>
        <w:rPr/>
        <w:t xml:space="preserve">Anonymous feedback forum if team members are unwilling to disclose their identity.</w:t>
      </w:r>
    </w:p>
    <w:p>
      <w:pPr>
        <w:numPr>
          <w:ilvl w:val="0"/>
          <w:numId w:val="2"/>
        </w:numPr>
        <w:spacing w:lineRule="auto"/>
      </w:pPr>
      <w:r>
        <w:rPr/>
        <w:t xml:space="preserve">Multiple options to collect data using personal interviews, anonymous surveys, and focus group discussions. Hence, the team members can share their experiences in whichever format they prefer to feel safe.</w:t>
      </w:r>
    </w:p>
    <w:p>
      <w:pPr>
        <w:numPr>
          <w:ilvl w:val="0"/>
          <w:numId w:val="2"/>
        </w:numPr>
        <w:spacing w:lineRule="auto"/>
      </w:pPr>
      <w:r>
        <w:rPr/>
        <w:t xml:space="preserve">Encouraging open and non-judgemental communication and active listening with no interruptions when someone shares their opinions, ideas, frustrations, or pain points.</w:t>
      </w:r>
    </w:p>
    <w:p>
      <w:pPr>
        <w:numPr>
          <w:ilvl w:val="0"/>
          <w:numId w:val="2"/>
        </w:numPr>
        <w:spacing w:lineRule="auto"/>
      </w:pPr>
      <w:r>
        <w:rPr/>
        <w:t xml:space="preserve">No personal remarks and respect for diverse perspectives and lived experiences.</w:t>
      </w:r>
    </w:p>
    <w:p>
      <w:pPr>
        <w:numPr>
          <w:ilvl w:val="0"/>
          <w:numId w:val="2"/>
        </w:numPr>
        <w:spacing w:lineRule="auto"/>
      </w:pPr>
      <w:r>
        <w:rPr/>
        <w:t xml:space="preserve">Focus and prioritize the well-being and safety of all.</w:t>
      </w:r>
    </w:p>
    <w:p>
      <w:pPr>
        <w:pStyle w:val="Heading2"/>
        <w:spacing w:lineRule="auto"/>
      </w:pPr>
      <w:r>
        <w:rPr/>
        <w:t xml:space="preserve">The Define Phase</w:t>
      </w:r>
      <w:r>
        <w:rPr/>
        <w:br w:type="textWrapping"/>
      </w:r>
    </w:p>
    <w:p>
      <w:pPr>
        <w:spacing w:lineRule="auto"/>
      </w:pPr>
      <w:r>
        <w:rPr/>
        <w:t xml:space="preserve">In the Define phase, the design team, including the ‘core’ and the ‘reflection’ teams, collaborated to synthesize the findings and articulated the insights by creating learner personas and empathy maps, as shown in Figure 3. The learner personas helped to visualize the target learner or group of learners for whom the learning programs were designed. On the other hand, the empathy maps helped to understand what the end users, i.e., the learners, felt, thought, saw, and heard, what pains and gains they experienced, and what were their own biases. During this phase, the team used whiteboards and visualization tools like the Miro to brainstorm and narrow down the key learner personas, their characteristics, behaviors, likes, pain points, and needs, as shown in Figure 3. </w:t>
      </w:r>
    </w:p>
    <w:p>
      <w:pPr>
        <w:spacing w:lineRule="auto"/>
      </w:pPr>
      <w:r>
        <w:rPr/>
        <w:t xml:space="preserve">Figure 3</w:t>
      </w:r>
    </w:p>
    <w:p>
      <w:pPr>
        <w:spacing w:lineRule="auto"/>
      </w:pPr>
      <w:r>
        <w:rPr/>
        <w:t xml:space="preserve"> An empathy map showing a learner's persona and needs (Self-Design). </w:t>
      </w:r>
    </w:p>
    <w:p>
      <w:pPr>
        <w:pStyle w:val="Heading2"/>
        <w:spacing w:lineRule="auto"/>
      </w:pPr>
      <w:r>
        <w:rPr/>
        <w:t xml:space="preserve">The Ideate Phase</w:t>
      </w:r>
    </w:p>
    <w:p>
      <w:pPr>
        <w:spacing w:lineRule="auto"/>
      </w:pPr>
      <w:r>
        <w:rPr/>
        <w:t xml:space="preserve">The 'reflection' team played a crucial role in offering insights into the solutions. The TMRGs were also involved in the co-design processes to co-create solutions that met their needs and aligned with their values. The Ideate phase also overlapped with other phases, especially the 'Reflect' phase. Taking feedback from multiple stakeholders, including the TMRG group members, helped to understand the impact of the learning solutions. Furthermore, to make adjustments as needed to ensure that it genuinely empowers marginalized individuals and communities, as shown in Figure 4.</w:t>
      </w:r>
    </w:p>
    <w:p>
      <w:pPr>
        <w:spacing w:lineRule="auto"/>
      </w:pPr>
      <w:r>
        <w:rPr/>
        <w:t xml:space="preserve">Figure 4</w:t>
      </w:r>
    </w:p>
    <w:p>
      <w:pPr>
        <w:spacing w:lineRule="auto"/>
      </w:pPr>
      <w:r>
        <w:rPr/>
        <w:t xml:space="preserve">A virtual whiteboard for a brainstorming session for the Ideate phase (Self-Design). </w:t>
      </w:r>
      <w:r>
        <w:rPr/>
        <w:br w:type="textWrapping"/>
      </w:r>
    </w:p>
    <w:p>
      <w:pPr>
        <w:pStyle w:val="Heading2"/>
        <w:spacing w:lineRule="auto"/>
      </w:pPr>
      <w:r>
        <w:rPr/>
        <w:t xml:space="preserve">The Prototype Phase</w:t>
      </w:r>
    </w:p>
    <w:p>
      <w:pPr>
        <w:spacing w:lineRule="auto"/>
      </w:pPr>
      <w:r>
        <w:rPr/>
        <w:t xml:space="preserve">During the Prototype phase, the ‘core’ team designed prototypes incorporating learning principles like the backward design model and adult learning principles and created storyboards and wireframes. The ‘reflection’ team, which included the TMRG representatives, played a crucial role in providing feedback to co-design the learning solution at each iteration. </w:t>
      </w:r>
    </w:p>
    <w:p>
      <w:pPr>
        <w:spacing w:lineRule="auto"/>
      </w:pPr>
      <w:r>
        <w:rPr/>
        <w:t xml:space="preserve">The design team at the nonprofit organization followed a few criteria to prototype the learning solutions:</w:t>
      </w:r>
    </w:p>
    <w:p>
      <w:pPr>
        <w:numPr>
          <w:ilvl w:val="0"/>
          <w:numId w:val="3"/>
        </w:numPr>
        <w:spacing w:lineRule="auto"/>
      </w:pPr>
      <w:r>
        <w:rPr/>
        <w:t xml:space="preserve">The solution must address the problems within the larger systems in which it operates. </w:t>
      </w:r>
    </w:p>
    <w:p>
      <w:pPr>
        <w:numPr>
          <w:ilvl w:val="0"/>
          <w:numId w:val="3"/>
        </w:numPr>
        <w:spacing w:lineRule="auto"/>
      </w:pPr>
      <w:r>
        <w:rPr/>
        <w:t xml:space="preserve">The solution must address and ensure that it aligns with the needs and values of diverse learners, especially marginalized and underrepresented learners.</w:t>
      </w:r>
    </w:p>
    <w:p>
      <w:pPr>
        <w:numPr>
          <w:ilvl w:val="0"/>
          <w:numId w:val="3"/>
        </w:numPr>
        <w:spacing w:lineRule="auto"/>
      </w:pPr>
      <w:r>
        <w:rPr/>
        <w:t xml:space="preserve">Use systems mapping techniques to visually represent the current systems and identify key stakeholders, feedback loops, and leverage areas.</w:t>
      </w:r>
    </w:p>
    <w:p>
      <w:pPr>
        <w:numPr>
          <w:ilvl w:val="0"/>
          <w:numId w:val="3"/>
        </w:numPr>
        <w:spacing w:lineRule="auto"/>
      </w:pPr>
      <w:r>
        <w:rPr/>
        <w:t xml:space="preserve">Use co-design techniques to involve multiple stakeholders, including representatives from the TMRG groups, in the prototyping process.</w:t>
      </w:r>
    </w:p>
    <w:p>
      <w:pPr>
        <w:numPr>
          <w:ilvl w:val="0"/>
          <w:numId w:val="3"/>
        </w:numPr>
        <w:spacing w:lineRule="auto"/>
      </w:pPr>
      <w:r>
        <w:rPr/>
        <w:t xml:space="preserve">Use inclusive and accessible design principles when creating the prototype. For example, ensuring closed captioning, good color contrast, culturally relevant images and language, and other WCAG (Web Content Accessibility Guidelines) protocols.</w:t>
      </w:r>
    </w:p>
    <w:p>
      <w:pPr>
        <w:pStyle w:val="Heading2"/>
        <w:spacing w:lineRule="auto"/>
      </w:pPr>
      <w:r>
        <w:rPr/>
        <w:t xml:space="preserve">The Test and Reflect Phase</w:t>
      </w:r>
    </w:p>
    <w:p>
      <w:pPr>
        <w:spacing w:lineRule="auto"/>
      </w:pPr>
      <w:r>
        <w:rPr/>
        <w:t xml:space="preserve">The Test phase focuses on getting specific feedback about how ideas and solutions can improve. The Reflect phase is ongoing and transparent throughout the liberatory design thinking phases. The design team made a questionnaire, as shown in Table 3, to make testing and reflection a continuous process.</w:t>
      </w:r>
    </w:p>
    <w:p>
      <w:pPr>
        <w:spacing w:lineRule="auto"/>
      </w:pPr>
      <w:r>
        <w:rPr/>
        <w:t xml:space="preserve">Table 3</w:t>
      </w:r>
    </w:p>
    <w:p>
      <w:pPr>
        <w:spacing w:lineRule="auto"/>
      </w:pPr>
      <w:r>
        <w:rPr/>
        <w:t xml:space="preserve"> Reflection questions in a 'liberatory design thinking' framework (Self-Design)</w:t>
      </w:r>
    </w:p>
    <w:p>
      <w:pPr>
        <w:pStyle w:val="Heading2"/>
        <w:spacing w:lineRule="auto"/>
      </w:pPr>
      <w:r>
        <w:rPr/>
        <w:t xml:space="preserve">Conclusion</w:t>
      </w:r>
      <w:r>
        <w:rPr/>
        <w:br w:type="textWrapping"/>
      </w:r>
    </w:p>
    <w:p>
      <w:pPr>
        <w:spacing w:lineRule="auto"/>
      </w:pPr>
      <w:r>
        <w:rPr/>
        <w:t xml:space="preserve"> To summarize, a few critical observations in the design case that were observed while implementing the 'liberatory design thinking' framework were: </w:t>
      </w:r>
    </w:p>
    <w:p>
      <w:pPr>
        <w:numPr>
          <w:ilvl w:val="0"/>
          <w:numId w:val="4"/>
        </w:numPr>
        <w:spacing w:lineRule="auto"/>
      </w:pPr>
      <w:r>
        <w:rPr/>
        <w:t xml:space="preserve">Create a diverse design team, including multiple team members from diverse backgrounds, especially underrepresented and marginalized members. </w:t>
      </w:r>
    </w:p>
    <w:p>
      <w:pPr>
        <w:numPr>
          <w:ilvl w:val="0"/>
          <w:numId w:val="4"/>
        </w:numPr>
        <w:spacing w:lineRule="auto"/>
      </w:pPr>
      <w:r>
        <w:rPr/>
        <w:t xml:space="preserve">Promote psychological safety to get honest and diverse feedback (anonymous feedback/ no repercussions for providing feedback).</w:t>
      </w:r>
    </w:p>
    <w:p>
      <w:pPr>
        <w:numPr>
          <w:ilvl w:val="0"/>
          <w:numId w:val="4"/>
        </w:numPr>
        <w:spacing w:lineRule="auto"/>
      </w:pPr>
      <w:r>
        <w:rPr/>
        <w:t xml:space="preserve">The political will of senior leadership </w:t>
      </w:r>
    </w:p>
    <w:p>
      <w:pPr>
        <w:numPr>
          <w:ilvl w:val="0"/>
          <w:numId w:val="4"/>
        </w:numPr>
        <w:spacing w:lineRule="auto"/>
      </w:pPr>
      <w:r>
        <w:rPr/>
        <w:t xml:space="preserve">Appoint moderators who can serve as facilitators, mediators, and champions of inclusion.  </w:t>
      </w:r>
    </w:p>
    <w:p>
      <w:pPr>
        <w:numPr>
          <w:ilvl w:val="0"/>
          <w:numId w:val="4"/>
        </w:numPr>
        <w:spacing w:lineRule="auto"/>
      </w:pPr>
      <w:r>
        <w:rPr/>
        <w:t xml:space="preserve">And design solutions with a systems thinking lens.</w:t>
      </w:r>
    </w:p>
    <w:p>
      <w:pPr>
        <w:spacing w:lineRule="auto"/>
      </w:pPr>
      <w:r>
        <w:rPr/>
        <w:t xml:space="preserve">Finally, it is vital to remember that liberatory design thinking is an ongoing process that requires continuous reflection, adaptation, and monitoring to ensure that the solution effectively addresses the complex issues within the system.</w:t>
      </w:r>
    </w:p>
    <w:p>
      <w:pPr>
        <w:pStyle w:val="Heading2"/>
        <w:spacing w:lineRule="auto"/>
      </w:pPr>
      <w:r>
        <w:rPr/>
        <w:t xml:space="preserve">Reference</w:t>
      </w:r>
    </w:p>
    <w:p>
      <w:pPr>
        <w:spacing w:lineRule="auto"/>
      </w:pPr>
      <w:r>
        <w:rPr/>
        <w:t xml:space="preserve">Anaissie, T., Wise, S., Malarkey, T., Clifford, D., &amp; Cary, V. (2017, April 27). Liberatory design. Stanford d.school. Retrieved from https://dschool.stanford.edu/resources-collections/liberatory-design </w:t>
      </w:r>
    </w:p>
    <w:p>
      <w:pPr>
        <w:spacing w:lineRule="auto"/>
      </w:pPr>
      <w:r>
        <w:rPr/>
        <w:t xml:space="preserve">Clifford, D. H. (2017). Liberatory design deck [PowerPoint slides]. Stanford, CA. https://docs.google.com/presentation/d/1S-7fZojfgGs3M3T110vaXZFztRvjmMdkCjJ4UiIQ5i0/edit#slide=idg1b43887c60_0_80</w:t>
      </w:r>
    </w:p>
    <w:p>
      <w:pPr>
        <w:spacing w:lineRule="auto"/>
      </w:pPr>
      <w:r>
        <w:rPr/>
        <w:t xml:space="preserve">Glanz, J. and Lipton, E. (2003). City in the sky: The Rise and Fall of the World Trade Center. New York, NY: Times Books</w:t>
      </w:r>
    </w:p>
    <w:p>
      <w:pPr>
        <w:spacing w:lineRule="auto"/>
      </w:pPr>
      <w:r>
        <w:rPr/>
        <w:t xml:space="preserve">Mills. G. E., &amp; Airasian, P. W. (2012). Educational research: competencies for analysis and applications (Tenth edition.). Pearson.</w:t>
      </w:r>
    </w:p>
    <w:p>
      <w:pPr>
        <w:spacing w:lineRule="auto"/>
      </w:pPr>
      <w:r>
        <w:rPr/>
        <w:t xml:space="preserve">Khalil , D. (2020, December 20). Equity-Centered Design Thinking in STEM Instructional Leadership. </w:t>
      </w:r>
    </w:p>
    <w:p>
      <w:pPr>
        <w:spacing w:lineRule="auto"/>
      </w:pPr>
      <w:r>
        <w:rPr/>
        <w:t xml:space="preserve">Linguistic Society of America. (n.d.). Guidelines for Inclusive Language | Retrieved from https://www.linguisticsociety.org/resource/guidelines-inclusive-language</w:t>
      </w:r>
    </w:p>
    <w:p>
      <w:pPr>
        <w:spacing w:lineRule="auto"/>
      </w:pPr>
      <w:r>
        <w:rPr/>
        <w:t xml:space="preserve">Mays, N., &amp; Pope, C. (1995). Observational methods in health care settings. British Medical Journal, 311(6998),  182–184. doi:10.2307/29728110</w:t>
      </w:r>
    </w:p>
    <w:p>
      <w:pPr>
        <w:spacing w:lineRule="auto"/>
      </w:pPr>
      <w:r>
        <w:rPr/>
        <w:t xml:space="preserve">Miles, M. B., &amp; Huberman, A. M. (1994). Qualitative Data Analysis An Expanded Sourcebook. Thousand Oaks, CA Sage Publications. - References - Scientific Research Publishing. (n.d.). Retrieved November 6, 2022, from https://www.scirp.org/(S(i43dyn45teexjx455qlt3d2q))/reference/ReferencesPapers. ReferenceID=1423956</w:t>
      </w:r>
    </w:p>
    <w:p>
      <w:pPr>
        <w:spacing w:lineRule="auto"/>
      </w:pPr>
      <w:r>
        <w:rPr/>
        <w:t xml:space="preserve">NEP. (n.d.). National Equity Project. Retrieved from https://www.nationalequityproject.org/ </w:t>
      </w:r>
    </w:p>
    <w:p>
      <w:pPr>
        <w:spacing w:lineRule="auto"/>
      </w:pPr>
      <w:r>
        <w:rPr/>
        <w:t xml:space="preserve">School of Dentistry. (n.d.).  Feeling of Belonging at Work:  It’s More Important Than You Think. Retrieved from https://dentistry.ucsf.edu/about/blog/feeling-belonging-work-its-more-important-you-think</w:t>
      </w:r>
    </w:p>
    <w:p>
      <w:pPr>
        <w:spacing w:lineRule="auto"/>
      </w:pPr>
      <w:r>
        <w:rPr/>
        <w:t xml:space="preserve">Staff, L. E. (2022, December 20). What Is Psychological Safety at Work? Retrieved from https://www.ccl.org/articles/leading-effectively-articles/what-is-psychological-safety-at-work/</w:t>
      </w:r>
    </w:p>
    <w:p>
      <w:pPr>
        <w:spacing w:lineRule="auto"/>
      </w:pPr>
      <w:r>
        <w:rPr/>
        <w:t xml:space="preserve">Stanford d.school. (n.d.). An Introduction to Design Thinking Process Guide. Retrieved from https://web.stanford.edu/~mshanks/MichaelShanks/files/509554.pdf</w:t>
      </w:r>
    </w:p>
    <w:p>
      <w:pPr>
        <w:spacing w:lineRule="auto"/>
      </w:pPr>
      <w:r>
        <w:rPr/>
        <w:t xml:space="preserve">The Interaction Design Foundation. (n.d.). What is Design Thinking? Retrieved from https://www.interaction-design.org/literature/topics/design-thinking</w:t>
      </w:r>
    </w:p>
    <w:p>
      <w:pPr>
        <w:spacing w:lineRule="auto"/>
      </w:pPr>
      <w:r>
        <w:rPr/>
        <w:t xml:space="preserve">Tsedale M. Melaku, Angie Beeman, David G. Smith, and W. Brad Johnson, M. (2020, December). Be a better ally. Retrieved from https://hbr.org/2020/11/be-a-better-ally</w:t>
      </w:r>
    </w:p>
    <w:p>
      <w:pPr>
        <w:spacing w:lineRule="auto"/>
      </w:pPr>
      <w:r>
        <w:rPr/>
        <w:t xml:space="preserve">Read this online at </w:t>
      </w:r>
      <w:hyperlink r:id="rId6">
        <w:r>
          <w:rPr>
            <w:rStyle w:val="Hyperlink"/>
          </w:rPr>
          <w:t xml:space="preserve">https://edtechbooks.org/jaid_13_2/liberatory_design_thinking_for_equitycentered_instructional_design_a_systems_thinking_analysis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jaid_13_2/liberatory_design_thinking_for_equitycentered_instructional_design_a_systems_thinking_analysi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