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Segunda unidad</w:t>
      </w:r>
    </w:p>
    <w:p>
      <w:pPr>
        <w:pStyle w:val="Heading3"/>
        <w:spacing w:lineRule="auto"/>
      </w:pPr>
      <w:r>
        <w:rPr/>
        <w:t xml:space="preserve">Objetivos</w:t>
      </w:r>
    </w:p>
    <w:p>
      <w:pPr>
        <w:spacing w:lineRule="auto"/>
      </w:pPr>
      <w:r>
        <w:rPr/>
        <w:t xml:space="preserve">En esta unidad aprenderán a usar otros tiempos de pasado, el perfecto y el pluscuamperfecto para hablar sobre la historia de la colonización en Latinoamérica y sus efectos. Aprenderán sobre las culturas indígenas y el mestizaje y cómo ese mestizaje influye en la lengua, la música, la comida y la religión. Van a aprender a expresar sus opiniones, recomendaciones, deseos, dudas y emociones sobre estos temas usando el presente de subjuntivo.</w:t>
      </w:r>
    </w:p>
    <w:p>
      <w:pPr>
        <w:pStyle w:val="Heading3"/>
        <w:spacing w:lineRule="auto"/>
      </w:pPr>
      <w:r>
        <w:rPr/>
        <w:t xml:space="preserve"> Contenido: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https://edtechbooks.org/bocacalle/segunda_unidad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bocacalle/segunda_unida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