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Teacher Training and Support in Emergencies</w:t>
      </w:r>
    </w:p>
    <w:p>
      <w:pPr>
        <w:spacing w:lineRule="auto"/>
      </w:pPr>
      <w:r>
        <w:rPr/>
        <w:t xml:space="preserve">, </w:t>
      </w:r>
    </w:p>
    <w:p>
      <w:pPr>
        <w:spacing w:lineRule="auto"/>
      </w:pPr>
      <w:r>
        <w:rPr/>
        <w:t xml:space="preserve">In emergency contexts, school teachers play a critical role in maintaining continuity of education and providing a sense of stability for young learners. This chapter focuses on how  educators can be trained to incorporate design thinking skills to address the unique challenges of teaching in crises, whether in environmental, health, or conflict-related emergencies. It examines the evolving role of teachers—from traditional educators to responsive designers—and emphasizes the importance of adaptability, creativity, and rapid problem-solving in emergency settings. Through interviews and discussion, such as teacher trainers in the Rohingya refugee camps, and those responding to natural disasters as well as public health hazards, this chapter offers targeted strategies for teacher training in emergencies. By doing so, it aims to contribute to the body of knowledge on supporting school teachers as they adapt to and design supportive learning environments in some of the most challenging contexts. </w:t>
      </w:r>
    </w:p>
    <w:p>
      <w:pPr>
        <w:spacing w:lineRule="auto"/>
      </w:pPr>
      <w:r>
        <w:rPr/>
      </w:r>
    </w:p>
    <w:p>
      <w:pPr>
        <w:pStyle w:val="Heading2"/>
        <w:spacing w:lineRule="auto"/>
      </w:pPr>
      <w:r>
        <w:rPr/>
        <w:br w:type="textWrapping"/>
      </w:r>
    </w:p>
    <w:p>
      <w:pPr>
        <w:spacing w:lineRule="auto"/>
      </w:pPr>
      <w:r>
        <w:rPr/>
        <w:drawing>
          <wp:inline distB="0" distL="0" distR="0" distT="0">
            <wp:extent cx="5486400" cy="3101009"/>
            <wp:effectExtent b="0" l="0" r="0" t="0"/>
            <wp:docPr id="2" name="image-dm1GwfFXpGiW9crJse2Y4.jpeg"/>
            <a:graphic>
              <a:graphicData uri="http://schemas.openxmlformats.org/drawingml/2006/picture">
                <pic:pic>
                  <pic:nvPicPr>
                    <pic:cNvPr id="2" name="image-dm1GwfFXpGiW9crJse2Y4.jpeg" descr="AI image generated by leonardo.ai depicting students in a classroom sitting on the floor listening to a young female teacher"/>
                    <pic:cNvPicPr/>
                  </pic:nvPicPr>
                  <pic:blipFill>
                    <a:blip r:embed="rId7" cstate="print"/>
                    <a:srcRect b="0" l="0" r="0" t="0"/>
                    <a:stretch>
                      <a:fillRect/>
                    </a:stretch>
                  </pic:blipFill>
                  <pic:spPr>
                    <a:xfrm>
                      <a:off x="0" y="0"/>
                      <a:ext cx="5486400" cy="3101009"/>
                    </a:xfrm>
                    <a:prstGeom prst="rect"/>
                  </pic:spPr>
                </pic:pic>
              </a:graphicData>
            </a:graphic>
          </wp:inline>
        </w:drawing>
      </w:r>
    </w:p>
    <w:p>
      <w:pPr>
        <w:pStyle w:val="Heading2"/>
        <w:spacing w:lineRule="auto"/>
      </w:pPr>
      <w:r>
        <w:rPr/>
        <w:t xml:space="preserve">Introduction</w:t>
      </w:r>
    </w:p>
    <w:p>
      <w:pPr>
        <w:spacing w:lineRule="auto"/>
      </w:pPr>
      <w:r>
        <w:rPr/>
        <w:t xml:space="preserve">Education plays a critical role in addressing the profound challenges posed in crisis situations such as natural disasters, armed conflicts, public health emergencies, and ecological disruptions. These emergencies often result in the displacement of communities, the destruction of educational infrastructure, and significant disruptions to learning environments, leaving millions of children without access to quality education</w:t>
      </w:r>
    </w:p>
    <w:p>
      <w:pPr>
        <w:spacing w:lineRule="auto"/>
      </w:pPr>
      <w:r>
        <w:rPr/>
        <w:t xml:space="preserve">The previous chapter delved into various types of emergencies, such as education in war zones, challenges faced by displaced and refugee children, health crises, political emergencies, public health emergencies, and conflict-related situations. It examined how each uniquely affects learning environments and introduced strategies within the framework of Education in Emergencies (EiE) to address these challenges. Building on this foundation, the current chapter shifts its focus to a pivotal stakeholder within the Education in Emergencies (EiE) framework: teachers. Unlike other stakeholders who may operate at a policy or administrative level, teachers work directly with the most vulnerable beneficiaries—children—who are often the hardest hit by crises. This direct involvement positions teachers on the frontline, where they are essential in adapting to and responding to crises, working to restore normalcy. Teachers thus become key players in addressing both the immediate and long-term challenges, with a critical role in safeguarding students' safety and wellbeing. </w:t>
      </w:r>
      <w:r>
        <w:rPr/>
        <w:br w:type="textWrapping"/>
      </w:r>
      <w:r>
        <w:rPr/>
        <w:br w:type="textWrapping"/>
      </w:r>
      <w:r>
        <w:rPr/>
        <w:t xml:space="preserve">In times of crisis, the role of teachers evolves dramatically, expanding from educators to leaders, caregivers, and even counselors. Teachers are no longer just responsible for transmitting knowledge; they are tasked with ensuring the safety and emotional well-being of their students while simultaneously fostering resilience. The shifting role requires teachers to adopt various responsibilities that go beyond their usual teaching duties, making them vital actors in the recovery process. This highlights the importance of teachers in not just maintaining educational continuity, but in promoting psychological recovery and supporting the community through difficult times. </w:t>
      </w:r>
    </w:p>
    <w:p>
      <w:pPr>
        <w:spacing w:lineRule="auto"/>
      </w:pPr>
      <w:r>
        <w:rPr/>
        <w:t xml:space="preserve">Due to such evolving roles, in the face of crises teachers are now required to act as designers, creating new learning environments and innovative educational approaches to meet the immediate needs of students. Teachers are no longer just responsible for delivering the curriculum; they are tasked with rethinking and adapting educational content and methods and also their approach with dealing with the community and the students. During emergencies, they must design learning experiences that are flexible, relevant, and inclusive, often within constrained and rapidly changing circumstances.  This aligns with findings by Mboya et al. (2024), who highlight that TPD efforts remain vital in equipping teachers to design and deliver quality education in crisis-affected settings, despite significant barriers, such as insufficient funding, a lack of qualified facilitators, heavy workloads, language challenges, gender biases, low ICT proficiency that complicate the effective implementation of these programs.</w:t>
      </w:r>
    </w:p>
    <w:p>
      <w:pPr>
        <w:spacing w:lineRule="auto"/>
      </w:pPr>
      <w:r>
        <w:rPr/>
        <w:t xml:space="preserve">In presenting this discussion, this chapter explores education in emergency contexts, drawing on examples from natural disasters, public health crises, and refugee or displacement crises caused by conflict. It highlights insights from interviews with teachers, trainers, and school management committees, including those working in Rohingya refugee camps and disaster-prone regions. These examples showcase how targeted training and support mechanisms enhance teachers' ability to deliver impactful education during crises. The chapter provides actionable recommendations for educators, policymakers, and stakeholders while offering a curated collection of online resources and tools. It concludes with a proposed teacher well-being toolkit designed to address diverse emergencies in education.</w:t>
      </w:r>
    </w:p>
    <w:p>
      <w:pPr>
        <w:pStyle w:val="Heading2"/>
        <w:spacing w:lineRule="auto"/>
      </w:pPr>
      <w:r>
        <w:rPr/>
        <w:t xml:space="preserve">The Evolving Role of Teachers as Designers in Emergencies</w:t>
      </w:r>
    </w:p>
    <w:p>
      <w:pPr>
        <w:pStyle w:val="Heading3"/>
        <w:spacing w:lineRule="auto"/>
      </w:pPr>
      <w:r>
        <w:rPr/>
        <w:t xml:space="preserve">Teachers to Counselors: Emotional Resilience and Adaptability </w:t>
      </w:r>
    </w:p>
    <w:p>
      <w:pPr>
        <w:spacing w:lineRule="auto"/>
      </w:pPr>
      <w:r>
        <w:rPr/>
        <w:t xml:space="preserve">Teachers in emergencies often become first responders to the emotional and psychological needs of their students. Teachers hold a unique and pivotal role in providing essential support to children in the aftermath of any emergencies such as natural disasters, conflict and other potentially traumatic events. During such times, schools serve as critical components of the community's recovery infrastructure.</w:t>
      </w:r>
      <w:r>
        <w:rPr/>
        <w:br w:type="textWrapping"/>
      </w:r>
      <w:r>
        <w:rPr/>
        <w:t xml:space="preserve">Wolmer et al. (2003) emphasize that during natural disasters, teachers often reside in the same affected areas as their students, leaving them vulnerable to severe post-traumatic symptoms and personal losses. These challenges may hinder teachers' ability or willingness to actively participate in post-disaster interventions with their students. This underscores the critical need for comprehensive teacher training and support that includes a focus on self-care. Prioritizing their well-being is essential for empowering educators to effectively support their students' psychological recovery in the aftermath of emergencies.</w:t>
      </w:r>
    </w:p>
    <w:p>
      <w:pPr>
        <w:spacing w:lineRule="auto"/>
      </w:pPr>
      <w:r>
        <w:rPr/>
      </w:r>
    </w:p>
    <w:p>
      <w:pPr>
        <w:spacing w:lineRule="auto"/>
      </w:pPr>
      <w:r>
        <w:rPr/>
        <w:t xml:space="preserve">Psychological theories have highlighted the importance of teachers providing safety for students for decades now. Maslow's Hierarchy of Needs emphasizes that safety is a fundamental need, and without it, students cannot progress in fulfilling other needs. Teachers can help students achieve self-actualization by ensuring their safety, which allows both teachers and students to perform at their best. Similarly, Alderfer's theory suggests that connection and security are essential for student success in educational settings. Bandura's theory of self-efficacy highlights that students' belief in their competence is crucial for success, which can be fostered by teachers who create a safe and supportive environment (Chondekar, 2018). Thus, in times of crisis, a teacher’s role extends beyond teaching; they often serve as caregivers, counselors, and community leaders. </w:t>
      </w:r>
    </w:p>
    <w:p>
      <w:pPr>
        <w:spacing w:lineRule="auto"/>
      </w:pPr>
      <w:r>
        <w:rPr/>
        <w:t xml:space="preserve">For instance, in countries like Pakistan, which has the highest global rate of terrorist attacks on educational institutions, teachers are recognized as "first responders," tasked with "activating emergency plans" and often assigned additional roles as safety officers to ensure the physical and emotional security of children in life-threatening situations (Hyder, Manzoor, and Iqbal, 2020). In the context of natural disasters, teachers are pivotal in disaster preparedness, response, and recovery, ensuring student safety, offering psychosocial support, and promoting community resilience through schools. In Indonesia, it is seen that post-disaster, teachers play a central role in fostering resilience and supporting students' psychosocial recovery by providing both psychoeducational and practical support, merging culturally specific practices such as mutual assistance and storytelling (Parrott et al., 2024). Similarly, teachers also play an important role in sustaining education and safety of students during health emergencies. For example, during the COVID-19 pandemic, UNICEF emphasized how teachers were pivotal in ensuring the continuity of education by transitioning to remote learning and providing emotional support to students, as well as working on the global recovery of the education sector. </w:t>
      </w:r>
    </w:p>
    <w:p>
      <w:pPr>
        <w:spacing w:lineRule="auto"/>
      </w:pPr>
      <w:r>
        <w:rPr/>
      </w:r>
    </w:p>
    <w:p>
      <w:pPr>
        <w:pStyle w:val="Heading3"/>
        <w:spacing w:lineRule="auto"/>
      </w:pPr>
      <w:r>
        <w:rPr/>
        <w:t xml:space="preserve">Teachers to Problem-Solvers: Innovating Education in the Wake of Natural Disasters </w:t>
      </w:r>
    </w:p>
    <w:p>
      <w:pPr>
        <w:spacing w:lineRule="auto"/>
      </w:pPr>
      <w:r>
        <w:rPr/>
        <w:t xml:space="preserve">In emergency settings, teachers often transcend their traditional roles as educators to become designers of innovative and adaptable learning environments. This requires rethinking conventional lesson plans to suit disrupted settings with scarce resources. The challenges faced by educators in these environments are particularly evident in disaster-prone regions like Bangladesh, a country highly vulnerable to natural disasters due to its geographical location and topographical features (Baten et al., 2019; Habiba &amp; Shaw, 2012). Between 1972 and 2019, Bangladesh experienced 297 natural disasters, with floods and storms comprising 47.47% and 28.96% of these events, respectively (Baten et al., 2019). Coastal areas, home to approximately 46 million people, are especially susceptible to cyclones, storm surges, and floods, leading to widespread loss of life, property damage, and economic disruption (Islam, 2012; Kulatunga et al., 2012). These statistics underscore the urgent need for resourceful and flexible approaches in education, where schools often serve as more than just academic institutions.</w:t>
      </w:r>
    </w:p>
    <w:p>
      <w:pPr>
        <w:spacing w:lineRule="auto"/>
      </w:pPr>
      <w:r>
        <w:rPr/>
        <w:t xml:space="preserve">To understand how educators navigate these complex roles, we interviewed Wafil Khan, President and Lead of the Jonaki School Committee. Jonaki Primary School, located in Charlaiykkha near the Karnaphuli River in Chittagong, operates in an area highly susceptible to natural disasters. This dual-purpose institution serves not only as a school but also as a cyclone shelter in that area, embodying the adaptability and creativity required in disaster-prone regions. During the interview, Wafil Khan elaborated on how Jonaki Primary School balances its dual role, highlighting the importance of teacher training in managing these dual responsibilities effectively. </w:t>
      </w:r>
    </w:p>
    <w:p>
      <w:pPr>
        <w:spacing w:lineRule="auto"/>
      </w:pPr>
      <w:r>
        <w:rPr/>
        <w:t xml:space="preserve">The school’s ability to adapt to the unpredictable demands of its environment reflects the innovative spirit that educators in emergency contexts must embrace. Such ingenuity highlights the necessity of design thinking—a structured, creative problem-solving approach that enables teachers to assess needs rapidly, prototype solutions, and iterate based on feedback. Through design thinking, teachers can respond proactively to their students' needs and the challenges of their environment, developing interventions that are practical, inclusive, and sustainable..</w:t>
      </w:r>
    </w:p>
    <w:p>
      <w:pPr>
        <w:pStyle w:val="Heading3"/>
        <w:spacing w:lineRule="auto"/>
      </w:pPr>
      <w:r>
        <w:rPr/>
        <w:t xml:space="preserve">Teachers to Renovators: Redefining Teaching Practices During the Pandemic and Remote Learning</w:t>
      </w:r>
    </w:p>
    <w:p>
      <w:pPr>
        <w:spacing w:lineRule="auto"/>
      </w:pPr>
      <w:r>
        <w:rPr/>
        <w:t xml:space="preserve">Just as educators in disaster-prone regions, educators are also obliged to o rethink and reshape their teaching methods to maintain continuity and support students’ academic and emotional needs during severe healthcare emergencies such as during outbreaks or pandemics.</w:t>
      </w:r>
    </w:p>
    <w:p>
      <w:pPr>
        <w:spacing w:lineRule="auto"/>
      </w:pPr>
      <w:r>
        <w:rPr/>
        <w:t xml:space="preserve">The COVID-19 pandemic served as a global crisis that altered the ways the education sector functioned. 98.6% of learners from pre-primary to higher education, representing 1.725 billion children and youth across 200 countries, were affected by the crisis and 94% of the student population was affected by the closure of the educational institutions (Pokhrel and Chhetri, 2021). The worldwide disruption to education led to the urgent need for teachers to transit from traditional face-to-face pedagogy to innovative approaches suited to online learning environments. </w:t>
      </w:r>
    </w:p>
    <w:p>
      <w:pPr>
        <w:spacing w:lineRule="auto"/>
      </w:pPr>
      <w:r>
        <w:rPr/>
        <w:t xml:space="preserve">The transition to distance learning required reimagining teaching practices, redesigning curricula, and finding creative ways to engage students in virtual spaces and through homeschooling. While various pedagogies and teaching practices were developed for online learning, there were real-time challenges such as technological gaps, inadequate professional training, and difficulties adapting educational activities to remote formats faced by teachers. Moreover, studies revealed that students from low-income families, migrant backgrounds, and those with disabilities—were disproportionately affected due to limited access to technology, socio-economic barriers, and psychological challenges (Radina and Balakina, 2021). These compelled many teachers around the world to innovate significantly.</w:t>
      </w:r>
    </w:p>
    <w:p>
      <w:pPr>
        <w:spacing w:lineRule="auto"/>
      </w:pPr>
      <w:r>
        <w:rPr/>
        <w:t xml:space="preserve">To gain a localized perspective on how schools innovatively navigated the challenges of the pandemic and remote learning, we conducted an interview with a teacher from Leaders School and College (LSCC), a private institution in Chittagong, who preferred to remain anonymous. The insights from this interview shed light on the challenges and innovative approaches adopted by LSCC during this period, leading to the identification of the following key themes:</w:t>
      </w:r>
    </w:p>
    <w:p>
      <w:pPr>
        <w:pStyle w:val="Heading4"/>
        <w:spacing w:lineRule="auto"/>
      </w:pPr>
      <w:r>
        <w:rPr/>
        <w:t xml:space="preserve">Challenges Faced During the Pandemic</w:t>
      </w:r>
    </w:p>
    <w:p>
      <w:pPr>
        <w:numPr>
          <w:ilvl w:val="0"/>
          <w:numId w:val="1"/>
        </w:numPr>
        <w:spacing w:lineRule="auto"/>
      </w:pPr>
      <w:r>
        <w:rPr/>
        <w:t xml:space="preserve">Financial and Operational Disruptions: The interviewee highlighted the significant financial challenges faced by LSCC during the pandemic. With many students unable to pay their tuition fees, the school struggled to provide full salaries to its teachers, exposing the economic vulnerability of private institutions reliant on tuition-based funding models. This  also posed challenges to maintaining teaching quality during a time of crisis and affected the institution’s overall operations and added pressure on staff to navigate the uncertainties of the period.</w:t>
      </w:r>
    </w:p>
    <w:p>
      <w:pPr>
        <w:numPr>
          <w:ilvl w:val="0"/>
          <w:numId w:val="1"/>
        </w:numPr>
        <w:spacing w:lineRule="auto"/>
      </w:pPr>
      <w:r>
        <w:rPr/>
        <w:t xml:space="preserve">Barriers to Student Engagement and Learning Outcomes: Another challenge reported was to ensure student participation and comprehension in online classes The interviewee noted that many students struggled to grasp lessons effectively in virtual settings compared to in-person instruction. Thus the transition to online learning exposed gaps in digital literacy and pedagogical adaptability among both students and teachers.</w:t>
      </w:r>
    </w:p>
    <w:p>
      <w:pPr>
        <w:pStyle w:val="Heading4"/>
        <w:spacing w:lineRule="auto"/>
      </w:pPr>
      <w:r>
        <w:rPr/>
        <w:t xml:space="preserve">Institutional Responses and Innovations</w:t>
      </w:r>
    </w:p>
    <w:p>
      <w:pPr>
        <w:numPr>
          <w:ilvl w:val="0"/>
          <w:numId w:val="2"/>
        </w:numPr>
        <w:spacing w:lineRule="auto"/>
      </w:pPr>
      <w:r>
        <w:rPr/>
        <w:t xml:space="preserve">Professional Development for Teachers: In response to the challenges posed by online learning, the interviewee mentioned that LSCC implemented training programs to enhance teachers’ digital competencies on creating engaging slide presentations, managing virtual classrooms, and mastering the Zoom platform. Initially, teachers expressed discomfort with the new teaching format but gradually adapted through targeted professional development. </w:t>
      </w:r>
    </w:p>
    <w:p>
      <w:pPr>
        <w:numPr>
          <w:ilvl w:val="0"/>
          <w:numId w:val="2"/>
        </w:numPr>
        <w:spacing w:lineRule="auto"/>
      </w:pPr>
      <w:r>
        <w:rPr/>
        <w:t xml:space="preserve">Pedagogical Adaptation: Teachers employed innovative strategies to sustain student engagement during online classes. For instance, the teacher interviewed introduced quiz sessions with rewards to maintain students’ interest and participation. Additionally, the timing of classes was optimized, with some educators preferring morning sessions to foster a more conducive learning environment.</w:t>
      </w:r>
    </w:p>
    <w:p>
      <w:pPr>
        <w:numPr>
          <w:ilvl w:val="0"/>
          <w:numId w:val="2"/>
        </w:numPr>
        <w:spacing w:lineRule="auto"/>
      </w:pPr>
      <w:r>
        <w:rPr/>
        <w:t xml:space="preserve">Approaches to Student Well-Being during health emergencies: The pandemic emphasized the need for schools to adopt holistic approaches that address both academic and emotional needs during any health crisis. As per the interviewee, LSCC included active collaboration with parents  and provided teacher training in emergency preparedness, covering areas such as first aid, managing chronic conditions, and mental health support to deal with health emergencies</w:t>
      </w:r>
    </w:p>
    <w:p>
      <w:pPr>
        <w:spacing w:lineRule="auto"/>
      </w:pPr>
      <w:r>
        <w:rPr/>
        <w:t xml:space="preserve">The COVID-19 pandemic forced educators to redefine their teaching methods and find innovative solutions to support students' academic and emotional needs. The insights from the teacher at LSCC revealed the importance of professional development, pedagogical adaptation, and a holistic approach to student well-being during health crises. While the institution navigated these challenges, the interviewee also underscored the need for systemic changes, such as sustainable funding models and comprehensive teacher training by the government, to better equip schools for future disruptions.</w:t>
      </w:r>
    </w:p>
    <w:p>
      <w:pPr>
        <w:pStyle w:val="Heading3"/>
        <w:spacing w:lineRule="auto"/>
      </w:pPr>
      <w:r>
        <w:rPr/>
        <w:t xml:space="preserve">Teachers to Designers: Transforming Teacher Training in Emergency Contexts</w:t>
      </w:r>
    </w:p>
    <w:p>
      <w:pPr>
        <w:spacing w:lineRule="auto"/>
      </w:pPr>
      <w:r>
        <w:rPr/>
        <w:t xml:space="preserve">An exemplary application of design thinking in education is evident in the "Upper Primary Teachers Training" project implemented in the Rohingya refugee camps in Bangladesh. This initiative empowers educators to function as designers by equipping them with tools and strategies to address complex educational challenges. The scale of the Rohingya refugee crisis highlights the urgency and significance of such interventions. With approximately 1 million refugees in Bangladesh, half of whom are children, the need for educational provisions is immense (Mahbub Alam Prodip &amp; J. Garnett, 2019; M. Shoeb &amp; Mithila Farzana Mumu, 2022). This population surge has strained resources, creating challenges in delivering basic necessities, including education (Meherun Ahmed &amp; Das, 2021). In such contexts, having teachers incorporate design thinking becomes a transformative approach, enabling educators to navigate these constraints and design meaningful learning experiences in resource-limited settings. To better understand the teacher support and training mechanism of this project, we interviewed Parisa Fadayee, a Trainer for the Upper Primary Teachers Training program, which has reached over 1,100 educators in the refugee camps. </w:t>
      </w:r>
    </w:p>
    <w:p>
      <w:pPr>
        <w:spacing w:lineRule="auto"/>
      </w:pPr>
      <w:r>
        <w:rPr/>
        <w:t xml:space="preserve">Q: What innovative tools or methods do you use to train teachers in addressing the unique challenges of refugee education?</w:t>
      </w:r>
      <w:r>
        <w:rPr/>
        <w:br w:type="textWrapping"/>
      </w:r>
      <w:r>
        <w:rPr/>
        <w:t xml:space="preserve">Parisa: For designing modules and preparing materials, I use a variety of innovative educational tools to provide the most updated and effective instructions. I primarily rely on generative AI tools to create engaging content and personalized learning experiences. AI-powered translators help bridge language gaps, ensuring clearer communication and understanding. Additionally, I use online educational resources and websites to access diverse teaching materials and strategies. These tools enable us to offer straightforward, practical solutions to the unique challenges teachers face in refugee education while staying adaptable to the needs of the students and the context.</w:t>
      </w:r>
    </w:p>
    <w:p>
      <w:pPr>
        <w:spacing w:lineRule="auto"/>
      </w:pPr>
      <w:r>
        <w:rPr/>
        <w:t xml:space="preserve">Q: How do you encourage teachers to think creatively when resources are scarce?</w:t>
      </w:r>
      <w:r>
        <w:rPr/>
        <w:br w:type="textWrapping"/>
      </w:r>
      <w:r>
        <w:rPr/>
        <w:t xml:space="preserve">Parisa: We encourage creativity by modeling the use of low-cost materials to make teaching aids. I demonstrate how basic items available in our surroundings can be transformed into effective teaching tools. For instance, sticks can be used for counting, or everyday objects can be repurposed for storytelling and language development. We also emphasize collaboration and group work, where teachers can brainstorm and share ideas. By showcasing practical examples of resourcefulness and fostering a supportive environment, we inspire teachers to be creative and confident in enhancing the learning experience, even with limited resources.</w:t>
      </w:r>
    </w:p>
    <w:p>
      <w:pPr>
        <w:spacing w:lineRule="auto"/>
      </w:pPr>
      <w:r>
        <w:rPr/>
        <w:t xml:space="preserve">Q: Do you introduce concepts like design thinking or problem-solving frameworks in your training? If so, can you provide an example of how this has been applied in your sessions?</w:t>
      </w:r>
      <w:r>
        <w:rPr/>
        <w:br w:type="textWrapping"/>
      </w:r>
      <w:r>
        <w:rPr/>
        <w:t xml:space="preserve">Parisa: Yes, I integrate design thinking into my training to promote problem-solving and creativity. When addressing challenges in the Learning Centers, I guide teachers to explore solutions by focusing on student needs, defining challenges, and developing strategies that can be applied in the classroom. For example, in one session, teachers developed different strategies to support students with disabilities, tested their ideas, and received feedback from peers. This process empowers them to come up with practical and innovative solutions for real classroom challenges.</w:t>
      </w:r>
    </w:p>
    <w:p>
      <w:pPr>
        <w:spacing w:lineRule="auto"/>
      </w:pPr>
      <w:r>
        <w:rPr/>
        <w:t xml:space="preserve">Drawing on Parisa’s insights, the integration of generative AI tools and online resources exemplifies how technology can bridge critical gaps in communication and resource availability. This aligns with the emphasis in the book chapter on leveraging context-sensitive tools to equip teachers with adaptive solutions. Furthermore, the focus on fostering creativity through low-cost, locally available materials highlights how resourcefulness can empower teachers to act as designers, creating meaningful and engaging learning experiences. Effective communication and conflict resolution skills are crucial for teachers during emergencies, as they help maintain order and clarity in high-stress situations while addressing the specific needs of displaced learners. By introducing design thinking principles, the training program enables teachers to approach challenges systematically, prioritizing student-centered solutions. Teachers are guided to define problems, generate ideas, and iterate based on feedback, reinforcing their role as proactive problem-solvers rather than passive implementers.</w:t>
      </w:r>
    </w:p>
    <w:p>
      <w:pPr>
        <w:spacing w:lineRule="auto"/>
      </w:pPr>
      <w:r>
        <w:rPr/>
        <w:t xml:space="preserve">In emergencies, where traditional educational structures are disrupted, the role of teachers as designers becomes pivotal in bridging systemic gaps and delivering meaningful education. The strategies highlighted in this interview reflect realistic and innovative practices for empowering educators to take ownership of their classrooms, adapt to complex challenges, and support the holistic development of students in crisis-affected settings.</w:t>
      </w:r>
    </w:p>
    <w:p>
      <w:pPr>
        <w:pStyle w:val="Heading2"/>
        <w:spacing w:lineRule="auto"/>
      </w:pPr>
      <w:r>
        <w:rPr/>
        <w:t xml:space="preserve">Key Components of Training for Emergencies </w:t>
      </w:r>
    </w:p>
    <w:p>
      <w:pPr>
        <w:spacing w:lineRule="auto"/>
      </w:pPr>
      <w:r>
        <w:rPr/>
        <w:t xml:space="preserve">As highlighted above, teachers play a pivotal role in times of crisis and to equip teachers for this vital role, targeted emergency training is essential. This section outlines guidelines for teacher training, the key skills required, and the necessary resources and toolkits to prepare educators for emergency contexts.</w:t>
      </w:r>
    </w:p>
    <w:p>
      <w:pPr>
        <w:spacing w:lineRule="auto"/>
      </w:pPr>
      <w:r>
        <w:rPr/>
        <w:t xml:space="preserve">Core Skills for Teachers in Emergencies</w:t>
      </w:r>
    </w:p>
    <w:p>
      <w:pPr>
        <w:numPr>
          <w:ilvl w:val="0"/>
          <w:numId w:val="3"/>
        </w:numPr>
        <w:spacing w:lineRule="auto"/>
      </w:pPr>
      <w:r>
        <w:rPr/>
        <w:t xml:space="preserve">Rapid Assessment of Student Needs: Unlike traditional needs assessments conducted during normal periods, emergency situations require immediate actions (Bagdy and Stefaniak, 2022). Thus, teachers must learn to develop strategies to quickly evaluate and prioritize students' academic, emotional, and physical needs through rapid assessment. A critical aspect of this is alsol identifying realistic, situational solutions that can be implemented without delay (Bagdy and Stefaniak, 2022).</w:t>
      </w:r>
    </w:p>
    <w:p>
      <w:pPr>
        <w:numPr>
          <w:ilvl w:val="0"/>
          <w:numId w:val="3"/>
        </w:numPr>
        <w:spacing w:lineRule="auto"/>
      </w:pPr>
      <w:r>
        <w:rPr/>
        <w:t xml:space="preserve">Communication and conflict resolution: Effective communication and conflict resolution skills are essential for teachers during emergencies because they help maintain order and clarity in high-stress situation</w:t>
      </w:r>
    </w:p>
    <w:p>
      <w:pPr>
        <w:numPr>
          <w:ilvl w:val="0"/>
          <w:numId w:val="3"/>
        </w:numPr>
        <w:spacing w:lineRule="auto"/>
      </w:pPr>
      <w:r>
        <w:rPr/>
        <w:t xml:space="preserve"> Prototyping Adaptable Lesson Plans and Curriculum Adaptation:  In emergencies, teachers must be able quickly design flexible lesson plans that can be adapted to changing situations and available resources.. For example, in the  "Upper Primary Teachers Training" project for Rohingya educators, teachers were trained to adjust lessons to meet the specific challenges faced by displaced communities. Developing the ability to prototype adaptable lesson plans ensures that teachers can continue to provide meaningful education in times of crisis.</w:t>
      </w:r>
    </w:p>
    <w:p>
      <w:pPr>
        <w:numPr>
          <w:ilvl w:val="0"/>
          <w:numId w:val="3"/>
        </w:numPr>
        <w:spacing w:lineRule="auto"/>
      </w:pPr>
      <w:r>
        <w:rPr/>
        <w:t xml:space="preserve">Trauma-informed teaching techniques: According to University of Illinois Chicago Center for Advancement of Teaching Excellence (2023), trauma-informed teaching practices include acknowledging external stressors, providing reflective space, connecting students to resources, and considering flexibility in course activities to reduce stress. Teachers dealing with emergency need to be equipped with skills to implement these practices to recognize and address the emotional and psychological impacts of trauma on students</w:t>
      </w:r>
    </w:p>
    <w:p>
      <w:pPr>
        <w:numPr>
          <w:ilvl w:val="0"/>
          <w:numId w:val="3"/>
        </w:numPr>
        <w:spacing w:lineRule="auto"/>
      </w:pPr>
      <w:r>
        <w:rPr/>
        <w:t xml:space="preserve">Inclusive Education Practices: During emergencies, teachers often face larger class sizes and an increased number of students experiencing physical and mental challenges, which can affect their learning (Save the Children, n.d.). As a result, it is essential for teachers to develop specialized inclusive education practices to effectively address the diverse needs of all students in these challenging circumstances.</w:t>
      </w:r>
    </w:p>
    <w:p>
      <w:pPr>
        <w:numPr>
          <w:ilvl w:val="0"/>
          <w:numId w:val="3"/>
        </w:numPr>
        <w:spacing w:lineRule="auto"/>
      </w:pPr>
      <w:r>
        <w:rPr/>
        <w:t xml:space="preserve">Multimodal Techniques: During emergencies, teachers must be equipped with multimodal techniques to effectively engage students with varying learning needs and abilities. These techniques involve using a combination of visual, auditory, and kinesthetic methods, such as videos, interactive activities, and illustrations, to ensure that all students can access and retain the material despite the challenging circumstances (Litonjua, 2020). As highlighted in the interview with the teacher from LSCC, teachers from the school employed similar techniques during the pandemic to continue interactive sessions.</w:t>
      </w:r>
    </w:p>
    <w:p>
      <w:pPr>
        <w:spacing w:lineRule="auto"/>
      </w:pPr>
      <w:r>
        <w:rPr/>
      </w:r>
    </w:p>
    <w:p>
      <w:pPr>
        <w:spacing w:lineRule="auto"/>
      </w:pPr>
      <w:r>
        <w:rPr/>
      </w:r>
    </w:p>
    <w:p>
      <w:pPr>
        <w:spacing w:lineRule="auto"/>
      </w:pPr>
      <w:r>
        <w:rPr/>
      </w:r>
    </w:p>
    <w:p>
      <w:pPr>
        <w:pStyle w:val="Heading2"/>
        <w:spacing w:lineRule="auto"/>
      </w:pPr>
      <w:r>
        <w:rPr>
          <w:b/>
        </w:rPr>
        <w:t xml:space="preserve">Teacher Support, Training and Wellbeing Toolkit</w:t>
      </w:r>
    </w:p>
    <w:p>
      <w:pPr>
        <w:spacing w:lineRule="auto"/>
      </w:pPr>
      <w:r>
        <w:rPr/>
        <w:t xml:space="preserve">This toolkit is designed to support teachers working in crisis-affected and emergency contexts by providing comprehensive resources for training, professional development, and well-being. Recognizing the multifaceted roles that teachers adopt during emergencies, this toolkit offers actionable strategies, materials, and insights to equip educators with the skills and resilience needed to navigate complex challenges.</w:t>
      </w:r>
    </w:p>
    <w:p>
      <w:pPr>
        <w:spacing w:lineRule="auto"/>
      </w:pPr>
      <w:r>
        <w:rPr>
          <w:b/>
        </w:rPr>
        <w:t xml:space="preserve">Objectives The toolkit aims to:</w:t>
      </w:r>
    </w:p>
    <w:p>
      <w:pPr>
        <w:numPr>
          <w:ilvl w:val="0"/>
          <w:numId w:val="4"/>
        </w:numPr>
        <w:spacing w:lineRule="auto"/>
      </w:pPr>
      <w:r>
        <w:rPr/>
        <w:t xml:space="preserve">Enhance teachers’ capacity to adapt educational practices in emergency contexts.</w:t>
      </w:r>
    </w:p>
    <w:p>
      <w:pPr>
        <w:numPr>
          <w:ilvl w:val="0"/>
          <w:numId w:val="4"/>
        </w:numPr>
        <w:spacing w:lineRule="auto"/>
      </w:pPr>
      <w:r>
        <w:rPr/>
        <w:t xml:space="preserve">Provide psychological and emotional support strategies for both teachers and students.</w:t>
      </w:r>
    </w:p>
    <w:p>
      <w:pPr>
        <w:numPr>
          <w:ilvl w:val="0"/>
          <w:numId w:val="4"/>
        </w:numPr>
        <w:spacing w:lineRule="auto"/>
      </w:pPr>
      <w:r>
        <w:rPr/>
        <w:t xml:space="preserve">Foster resilience through innovative teaching practices and professional development.</w:t>
      </w:r>
    </w:p>
    <w:p>
      <w:pPr>
        <w:numPr>
          <w:ilvl w:val="0"/>
          <w:numId w:val="4"/>
        </w:numPr>
        <w:spacing w:lineRule="auto"/>
      </w:pPr>
      <w:r>
        <w:rPr/>
        <w:t xml:space="preserve">Support the holistic well-being of teachers, ensuring they are empowered to manage their expanded roles effectively</w:t>
      </w:r>
    </w:p>
    <w:p>
      <w:pPr>
        <w:spacing w:lineRule="auto"/>
      </w:pPr>
      <w:r>
        <w:rPr/>
      </w:r>
    </w:p>
    <w:p>
      <w:pPr>
        <w:pStyle w:val="Heading3"/>
        <w:spacing w:lineRule="auto"/>
      </w:pPr>
      <w:r>
        <w:rPr/>
        <w:t xml:space="preserve">Key Components of the Toolkit</w:t>
      </w:r>
    </w:p>
    <w:p>
      <w:pPr>
        <w:pStyle w:val="Heading4"/>
        <w:spacing w:lineRule="auto"/>
      </w:pPr>
      <w:r>
        <w:rPr/>
        <w:t xml:space="preserve">A. Teacher Training Resources</w:t>
      </w:r>
    </w:p>
    <w:p>
      <w:pPr>
        <w:numPr>
          <w:ilvl w:val="0"/>
          <w:numId w:val="5"/>
        </w:numPr>
        <w:spacing w:lineRule="auto"/>
      </w:pPr>
      <w:r>
        <w:rPr/>
        <w:t xml:space="preserve">Professional Development Modules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Emergency Pedagogy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Inclusive Education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Design Thinking</w:t>
            </w:r>
          </w:p>
        </w:tc>
      </w:t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Adapting teaching strategies for disrupted environments.  </w:t>
            </w:r>
          </w:p>
          <w:p>
            <w:pPr>
              <w:spacing w:lineRule="auto"/>
            </w:pPr>
            <w:r>
              <w:rPr/>
              <w:br w:type="textWrapping"/>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Techniques for teaching diverse and vulnerable student groups.  </w:t>
            </w:r>
          </w:p>
          <w:p>
            <w:pPr>
              <w:spacing w:lineRule="auto"/>
            </w:pPr>
            <w:r>
              <w:rPr/>
              <w:br w:type="textWrapping"/>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Structured problem-solving approaches for creating flexible and relevant lesson plans.  </w:t>
            </w:r>
          </w:p>
          <w:p>
            <w:pPr>
              <w:spacing w:lineRule="auto"/>
            </w:pPr>
            <w:r>
              <w:rPr/>
              <w:br w:type="textWrapping"/>
            </w:r>
          </w:p>
        </w:tc>
      </w:tr>
    </w:tbl>
    <w:p>
      <w:pPr>
        <w:spacing w:lineRule="auto"/>
      </w:pPr>
      <w:r>
        <w:rPr/>
      </w:r>
    </w:p>
    <w:p>
      <w:pPr>
        <w:numPr>
          <w:ilvl w:val="0"/>
          <w:numId w:val="6"/>
        </w:numPr>
        <w:spacing w:lineRule="auto"/>
      </w:pPr>
      <w:r>
        <w:rPr/>
        <w:t xml:space="preserve">Workshops and Activities:</w:t>
      </w:r>
    </w:p>
    <w:p>
      <w:pPr>
        <w:numPr>
          <w:ilvl w:val="1"/>
          <w:numId w:val="7"/>
        </w:numPr>
        <w:spacing w:lineRule="auto"/>
      </w:pPr>
      <w:r>
        <w:rPr/>
        <w:t xml:space="preserve">Scenario-based simulations for disaster preparedness and response.</w:t>
      </w:r>
    </w:p>
    <w:p>
      <w:pPr>
        <w:numPr>
          <w:ilvl w:val="1"/>
          <w:numId w:val="7"/>
        </w:numPr>
        <w:spacing w:lineRule="auto"/>
      </w:pPr>
      <w:r>
        <w:rPr/>
        <w:t xml:space="preserve">Practical guides on managing remote and hybrid classrooms.</w:t>
      </w:r>
    </w:p>
    <w:p>
      <w:pPr>
        <w:numPr>
          <w:ilvl w:val="1"/>
          <w:numId w:val="7"/>
        </w:numPr>
        <w:spacing w:lineRule="auto"/>
      </w:pPr>
      <w:r>
        <w:rPr/>
        <w:t xml:space="preserve">Training in culturally responsive teaching to address local needs.</w:t>
      </w:r>
    </w:p>
    <w:p>
      <w:pPr>
        <w:numPr>
          <w:ilvl w:val="0"/>
          <w:numId w:val="6"/>
        </w:numPr>
        <w:spacing w:lineRule="auto"/>
      </w:pPr>
      <w:r>
        <w:rPr/>
        <w:t xml:space="preserve">Resource Libraries:</w:t>
      </w:r>
    </w:p>
    <w:p>
      <w:pPr>
        <w:numPr>
          <w:ilvl w:val="1"/>
          <w:numId w:val="8"/>
        </w:numPr>
        <w:spacing w:lineRule="auto"/>
      </w:pPr>
      <w:r>
        <w:rPr/>
        <w:t xml:space="preserve">Access to curated materials, including case studies, best practices, and templates for lesson planning.</w:t>
      </w:r>
    </w:p>
    <w:p>
      <w:pPr>
        <w:numPr>
          <w:ilvl w:val="1"/>
          <w:numId w:val="8"/>
        </w:numPr>
        <w:spacing w:lineRule="auto"/>
      </w:pPr>
      <w:r>
        <w:rPr/>
        <w:t xml:space="preserve">Guides for integrating ICT tools in low-resource settings.</w:t>
      </w:r>
    </w:p>
    <w:p>
      <w:pPr>
        <w:numPr>
          <w:ilvl w:val="0"/>
          <w:numId w:val="6"/>
        </w:numPr>
        <w:spacing w:lineRule="auto"/>
      </w:pPr>
      <w:r>
        <w:rPr/>
        <w:t xml:space="preserve">Mentorship Programs:</w:t>
      </w:r>
    </w:p>
    <w:p>
      <w:pPr>
        <w:numPr>
          <w:ilvl w:val="1"/>
          <w:numId w:val="9"/>
        </w:numPr>
        <w:spacing w:lineRule="auto"/>
      </w:pPr>
      <w:r>
        <w:rPr/>
        <w:t xml:space="preserve">Peer-to-peer learning networks.</w:t>
      </w:r>
    </w:p>
    <w:p>
      <w:pPr>
        <w:numPr>
          <w:ilvl w:val="1"/>
          <w:numId w:val="9"/>
        </w:numPr>
        <w:spacing w:lineRule="auto"/>
      </w:pPr>
      <w:r>
        <w:rPr/>
        <w:t xml:space="preserve">Online forums for sharing challenges and solutions.</w:t>
      </w:r>
    </w:p>
    <w:p>
      <w:pPr>
        <w:pStyle w:val="Heading4"/>
        <w:spacing w:lineRule="auto"/>
      </w:pPr>
      <w:r>
        <w:rPr/>
        <w:t xml:space="preserve">B. Teacher Wellbeing Toolkit</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160"/>
        <w:gridCol w:w="2160"/>
        <w:gridCol w:w="2160"/>
        <w:gridCol w:w="216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Psychological Support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Work-life Balance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Community Building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Recognition &amp; Motivation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Self-care strategies to manage stress and trauma.  </w:t>
            </w:r>
          </w:p>
          <w:p>
            <w:pPr>
              <w:spacing w:lineRule="auto"/>
            </w:pPr>
            <w:r>
              <w:rPr/>
              <w:br w:type="textWrapping"/>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Time-management tips tailored for emergency settings.  </w:t>
            </w:r>
          </w:p>
          <w:p>
            <w:pPr>
              <w:spacing w:lineRule="auto"/>
            </w:pPr>
            <w:r>
              <w:rPr/>
              <w:br w:type="textWrapping"/>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Establishing teacher support groups within schools.  </w:t>
            </w:r>
          </w:p>
          <w:p>
            <w:pPr>
              <w:spacing w:lineRule="auto"/>
            </w:pPr>
            <w:r>
              <w:rPr/>
              <w:br w:type="textWrapping"/>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Regular acknowledgment of teachers’ efforts.  </w:t>
            </w:r>
          </w:p>
          <w:p>
            <w:pPr>
              <w:spacing w:lineRule="auto"/>
            </w:pPr>
            <w:r>
              <w:rPr/>
              <w:br w:type="textWrapping"/>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Access to counseling services or peer-support groups.  </w:t>
            </w:r>
          </w:p>
          <w:p>
            <w:pPr>
              <w:spacing w:lineRule="auto"/>
            </w:pPr>
            <w:r>
              <w:rPr/>
              <w:br w:type="textWrapping"/>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Recommendations for balancing professional and personal responsibilities during crises.  </w:t>
            </w:r>
          </w:p>
          <w:p>
            <w:pPr>
              <w:spacing w:lineRule="auto"/>
            </w:pPr>
            <w:r>
              <w:rPr/>
              <w:br w:type="textWrapping"/>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Networking opportunities with educators in similar contexts.  </w:t>
            </w:r>
          </w:p>
          <w:p>
            <w:pPr>
              <w:spacing w:lineRule="auto"/>
            </w:pPr>
            <w:r>
              <w:rPr/>
              <w:br w:type="textWrapping"/>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Incentives, such as professional growth opportunities or awards.  </w:t>
            </w:r>
          </w:p>
          <w:p>
            <w:pPr>
              <w:spacing w:lineRule="auto"/>
            </w:pPr>
            <w:r>
              <w:rPr/>
              <w:br w:type="textWrapping"/>
            </w:r>
          </w:p>
        </w:tc>
      </w:tr>
      <w:tblGrid>
        <w:gridCol w:w="2160"/>
        <w:gridCol w:w="2160"/>
        <w:gridCol w:w="2160"/>
        <w:gridCol w:w="216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Guided mindfulness and relaxation exercises.  </w:t>
            </w:r>
          </w:p>
          <w:p>
            <w:pPr>
              <w:spacing w:lineRule="auto"/>
            </w:pPr>
            <w:r>
              <w:rPr/>
              <w:br w:type="textWrapping"/>
            </w:r>
          </w:p>
        </w:tc>
        <w:tc>
          <w:tcPr>
            <w:tcBorders>
              <w:top w:val="single" w:sz="1" w:space="0" w:color="000000"/>
              <w:bottom w:val="single" w:sz="1" w:space="0" w:color="000000"/>
              <w:left w:val="single" w:sz="1" w:space="0" w:color="000000"/>
              <w:right w:val="single" w:sz="1" w:space="0" w:color="000000"/>
            </w:tcBorders>
          </w:tcPr>
          <w:p>
            <w:pPr>
              <w:spacing w:lineRule="auto"/>
            </w:pPr>
            <w:r>
              <w:rPr/>
              <w:br w:type="textWrapping"/>
            </w:r>
          </w:p>
        </w:tc>
        <w:tc>
          <w:tcPr>
            <w:tcBorders>
              <w:top w:val="single" w:sz="1" w:space="0" w:color="000000"/>
              <w:bottom w:val="single" w:sz="1" w:space="0" w:color="000000"/>
              <w:left w:val="single" w:sz="1" w:space="0" w:color="000000"/>
              <w:right w:val="single" w:sz="1" w:space="0" w:color="000000"/>
            </w:tcBorders>
          </w:tcPr>
          <w:p>
            <w:pPr>
              <w:spacing w:lineRule="auto"/>
            </w:pPr>
            <w:r>
              <w:rPr/>
              <w:br w:type="textWrapping"/>
            </w:r>
          </w:p>
        </w:tc>
        <w:tc>
          <w:tcPr>
            <w:tcBorders>
              <w:top w:val="single" w:sz="1" w:space="0" w:color="000000"/>
              <w:bottom w:val="single" w:sz="1" w:space="0" w:color="000000"/>
              <w:left w:val="single" w:sz="1" w:space="0" w:color="000000"/>
              <w:right w:val="single" w:sz="1" w:space="0" w:color="000000"/>
            </w:tcBorders>
          </w:tcPr>
          <w:p>
            <w:pPr>
              <w:spacing w:lineRule="auto"/>
            </w:pPr>
            <w:r>
              <w:rPr/>
              <w:br w:type="textWrapping"/>
            </w:r>
          </w:p>
        </w:tc>
      </w:tr>
    </w:tbl>
    <w:p>
      <w:pPr>
        <w:spacing w:lineRule="auto"/>
      </w:pPr>
      <w:r>
        <w:rPr/>
      </w:r>
    </w:p>
    <w:p>
      <w:pPr>
        <w:pStyle w:val="Heading4"/>
        <w:spacing w:lineRule="auto"/>
      </w:pPr>
      <w:r>
        <w:rPr/>
        <w:t xml:space="preserve">C. Emergency Response Tools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Safety &amp; Preparedness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Guidelines for activating and implementing school emergency plans.</w:t>
            </w:r>
          </w:p>
          <w:p>
            <w:pPr>
              <w:spacing w:lineRule="auto"/>
            </w:pPr>
            <w:r>
              <w:rPr/>
              <w:t xml:space="preserve">- Training materials on ensuring physical safety and security for students and staff.</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Psycho-Social Support Training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Strategies for addressing student trauma and promoting emotional resilience.</w:t>
            </w:r>
          </w:p>
          <w:p>
            <w:pPr>
              <w:spacing w:lineRule="auto"/>
            </w:pPr>
            <w:r>
              <w:rPr/>
              <w:t xml:space="preserve">- Interactive tools for creating safe spaces within classrooms.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Crisis- Specific Resources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Modules for adapting teaching during pandemics, natural disasters, and conflict-induced displacement.</w:t>
            </w:r>
          </w:p>
          <w:p>
            <w:pPr>
              <w:spacing w:lineRule="auto"/>
            </w:pPr>
            <w:r>
              <w:rPr/>
              <w:t xml:space="preserve">- Examples of flexible curriculum design for disrupted settings.</w:t>
            </w:r>
          </w:p>
        </w:tc>
      </w:tr>
    </w:tbl>
    <w:p>
      <w:pPr>
        <w:spacing w:lineRule="auto"/>
      </w:pPr>
      <w:r>
        <w:rPr/>
      </w:r>
    </w:p>
    <w:p>
      <w:pPr>
        <w:spacing w:lineRule="auto"/>
      </w:pPr>
      <w:r>
        <w:rPr/>
      </w:r>
    </w:p>
    <w:p>
      <w:pPr>
        <w:pStyle w:val="Heading4"/>
        <w:spacing w:lineRule="auto"/>
      </w:pPr>
      <w:r>
        <w:rPr/>
        <w:t xml:space="preserve">D. Case Studies and Impactful Practices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Disaster-Prone Areas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Example: Jonaki Primary School in Bangladesh adapting dual roles as a school and cyclone shelter.</w:t>
            </w:r>
          </w:p>
          <w:p>
            <w:pPr>
              <w:spacing w:lineRule="auto"/>
            </w:pPr>
            <w:r>
              <w:rPr/>
              <w:t xml:space="preserve">- Lessons on integrating local practices (e.g., storytelling) to foster resilience.</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Public Health Emergencies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Example: Innovative responses during the COVID-19 pandemic by Leaders School and College, including professional development and online teaching strategies  </w:t>
            </w:r>
          </w:p>
          <w:p>
            <w:pPr>
              <w:spacing w:lineRule="auto"/>
            </w:pPr>
            <w:r>
              <w:rPr/>
              <w:br w:type="textWrapping"/>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Conflict Affected Zones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Example: Insights from schools in refugee camps, highlighting the need for trauma-informed teaching and community engagement.  </w:t>
            </w:r>
          </w:p>
          <w:p>
            <w:pPr>
              <w:spacing w:lineRule="auto"/>
            </w:pPr>
            <w:r>
              <w:rPr/>
              <w:br w:type="textWrapping"/>
            </w:r>
          </w:p>
        </w:tc>
      </w:tr>
    </w:tbl>
    <w:p>
      <w:pPr>
        <w:spacing w:lineRule="auto"/>
      </w:pPr>
      <w:r>
        <w:rPr/>
      </w:r>
    </w:p>
    <w:p>
      <w:pPr>
        <w:spacing w:lineRule="auto"/>
      </w:pPr>
      <w:r>
        <w:rPr/>
      </w:r>
    </w:p>
    <w:p>
      <w:pPr>
        <w:pStyle w:val="Heading4"/>
        <w:spacing w:lineRule="auto"/>
      </w:pPr>
      <w:r>
        <w:rPr/>
        <w:t xml:space="preserve">E. Online Resources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Curated Resource Platforms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Global Networks              </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Links to open-access professional development courses.</w:t>
            </w:r>
          </w:p>
          <w:p>
            <w:pPr>
              <w:spacing w:lineRule="auto"/>
            </w:pPr>
            <w:r>
              <w:rPr/>
              <w:t xml:space="preserve">- Collections of printable and digital teaching aids for emergency contexts.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Membership in international communities like Inter-Agency Network for Education in Emergencies (INEE).</w:t>
            </w:r>
          </w:p>
          <w:p>
            <w:pPr>
              <w:spacing w:lineRule="auto"/>
            </w:pPr>
            <w:r>
              <w:rPr/>
              <w:t xml:space="preserve">- Access to regional training hubs and online webinars.</w:t>
            </w:r>
          </w:p>
        </w:tc>
      </w:tr>
    </w:tbl>
    <w:p>
      <w:pPr>
        <w:spacing w:lineRule="auto"/>
      </w:pPr>
      <w:r>
        <w:rPr/>
      </w:r>
    </w:p>
    <w:p>
      <w:pPr>
        <w:pStyle w:val="Heading3"/>
        <w:spacing w:lineRule="auto"/>
      </w:pPr>
      <w:r>
        <w:rPr/>
        <w:br w:type="textWrapping"/>
      </w:r>
    </w:p>
    <w:p>
      <w:pPr>
        <w:pStyle w:val="Heading4"/>
        <w:spacing w:lineRule="auto"/>
      </w:pPr>
      <w:r>
        <w:rPr/>
        <w:t xml:space="preserve">F. Implementation Guide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 by Step Instructions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Monitoring &amp; Feedback Mechanisms</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How to organize training sessions using this toolkit.</w:t>
            </w:r>
          </w:p>
          <w:p>
            <w:pPr>
              <w:spacing w:lineRule="auto"/>
            </w:pPr>
            <w:r>
              <w:rPr/>
              <w:br w:type="textWrapping"/>
            </w:r>
          </w:p>
          <w:p>
            <w:pPr>
              <w:spacing w:lineRule="auto"/>
            </w:pPr>
            <w:r>
              <w:rPr/>
              <w:t xml:space="preserve">- Best practices for integrating well-being and professional development into daily routines.</w:t>
            </w:r>
          </w:p>
          <w:p>
            <w:pPr>
              <w:spacing w:lineRule="auto"/>
            </w:pPr>
            <w:r>
              <w:rPr/>
              <w:br w:type="textWrapping"/>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Tools for assessing the impact of training and well-being initiatives.</w:t>
            </w:r>
          </w:p>
          <w:p>
            <w:pPr>
              <w:spacing w:lineRule="auto"/>
            </w:pPr>
            <w:r>
              <w:rPr/>
              <w:t xml:space="preserve">- Methods for gathering feedback from teachers and students.</w:t>
            </w:r>
          </w:p>
          <w:p>
            <w:pPr>
              <w:spacing w:lineRule="auto"/>
            </w:pPr>
            <w:r>
              <w:rPr/>
              <w:br w:type="textWrapping"/>
            </w:r>
          </w:p>
        </w:tc>
      </w:tr>
    </w:tbl>
    <w:p>
      <w:pPr>
        <w:spacing w:lineRule="auto"/>
      </w:pPr>
      <w:r>
        <w:rPr/>
      </w:r>
    </w:p>
    <w:p>
      <w:pPr>
        <w:pStyle w:val="Heading3"/>
        <w:spacing w:lineRule="auto"/>
      </w:pPr>
      <w:r>
        <w:rPr/>
        <w:t xml:space="preserve">Annexes</w:t>
      </w:r>
    </w:p>
    <w:p>
      <w:pPr>
        <w:numPr>
          <w:ilvl w:val="0"/>
          <w:numId w:val="10"/>
        </w:numPr>
        <w:spacing w:lineRule="auto"/>
      </w:pPr>
      <w:hyperlink r:id="rId8">
        <w:r>
          <w:rPr>
            <w:rStyle w:val="Hyperlink"/>
          </w:rPr>
          <w:t xml:space="preserve">Sample Lesson Plans for Emergency Contexts.</w:t>
        </w:r>
      </w:hyperlink>
    </w:p>
    <w:p>
      <w:pPr>
        <w:numPr>
          <w:ilvl w:val="0"/>
          <w:numId w:val="10"/>
        </w:numPr>
        <w:spacing w:lineRule="auto"/>
      </w:pPr>
      <w:r>
        <w:rPr/>
        <w:t xml:space="preserve">Sample Checklist for </w:t>
      </w:r>
      <w:hyperlink r:id="rId9">
        <w:r>
          <w:rPr>
            <w:rStyle w:val="Hyperlink"/>
          </w:rPr>
          <w:t xml:space="preserve">Teacher Well-being</w:t>
        </w:r>
      </w:hyperlink>
      <w:r>
        <w:rPr/>
        <w:t xml:space="preserve"> and </w:t>
      </w:r>
      <w:hyperlink r:id="rId10">
        <w:r>
          <w:rPr>
            <w:rStyle w:val="Hyperlink"/>
          </w:rPr>
          <w:t xml:space="preserve">Classroom Safety</w:t>
        </w:r>
      </w:hyperlink>
    </w:p>
    <w:p>
      <w:pPr>
        <w:numPr>
          <w:ilvl w:val="0"/>
          <w:numId w:val="10"/>
        </w:numPr>
        <w:spacing w:lineRule="auto"/>
      </w:pPr>
      <w:hyperlink r:id="rId11">
        <w:r>
          <w:rPr>
            <w:rStyle w:val="Hyperlink"/>
          </w:rPr>
          <w:t xml:space="preserve">List of Recommended Apps and Digital Tools for Remote Learning.</w:t>
        </w:r>
      </w:hyperlink>
    </w:p>
    <w:p>
      <w:pPr>
        <w:numPr>
          <w:ilvl w:val="0"/>
          <w:numId w:val="10"/>
        </w:numPr>
        <w:spacing w:lineRule="auto"/>
      </w:pPr>
      <w:hyperlink r:id="rId12">
        <w:r>
          <w:rPr>
            <w:rStyle w:val="Hyperlink"/>
          </w:rPr>
          <w:t xml:space="preserve">Sample Emergency Preparedness and Response Templates</w:t>
        </w:r>
      </w:hyperlink>
      <w:r>
        <w:rPr/>
        <w:t xml:space="preserve">.</w:t>
      </w:r>
    </w:p>
    <w:p>
      <w:pPr>
        <w:spacing w:lineRule="auto"/>
      </w:pPr>
      <w:r>
        <w:rPr/>
        <w:t xml:space="preserve"> Note: The links embedded in these resources are only samples and should be alternated and adjusted based on local needs, contextual relevance, and available resources</w:t>
      </w:r>
    </w:p>
    <w:p>
      <w:pPr>
        <w:spacing w:lineRule="auto"/>
      </w:pPr>
      <w:r>
        <w:rPr/>
        <w:br w:type="textWrapping"/>
      </w:r>
    </w:p>
    <w:p>
      <w:pPr>
        <w:spacing w:lineRule="auto"/>
      </w:pPr>
      <w:r>
        <w:rPr/>
        <w:t xml:space="preserve">This toolkit serves as a comprehensive resource to support teachers as they navigate the complexities of education in emergencies. By addressing both professional development and well-being, the toolkit can empower educators to fulfill their expanded roles effectively, fostering resilience and continuity in learning. Collaboration with policymakers, community leaders, and international organizations will be essential to its successful implementation. As emergencies can arise at any time, it is crucial that all stakeholders are prepared to actively contribute to ensuring the continuity of education and supporting those impacted.</w:t>
      </w:r>
    </w:p>
    <w:p>
      <w:pPr>
        <w:spacing w:lineRule="auto"/>
      </w:pPr>
      <w:r>
        <w:rPr/>
      </w:r>
    </w:p>
    <w:p>
      <w:pPr>
        <w:pStyle w:val="Heading2"/>
        <w:spacing w:lineRule="auto"/>
      </w:pPr>
      <w:r>
        <w:rPr/>
        <w:t xml:space="preserve">Conclusion</w:t>
      </w:r>
    </w:p>
    <w:p>
      <w:pPr>
        <w:spacing w:lineRule="auto"/>
      </w:pPr>
      <w:r>
        <w:rPr/>
        <w:t xml:space="preserve">In emergency contexts, the role of teachers extends far beyond conventional education, requiring them to act as problem-solvers, caregivers, and designers of adaptive learning environments. Whether responding to natural disasters, conflicts, or public health crises, teachers play an essential role in maintaining educational continuity and fostering resilience among students. By incorporating strategies such as design thinking and professional development, educators can navigate the challenges of emergencies effectively, ensuring that children continue to learn and grow despite adverse circumstances. Investing in teacher training and support in crisis settings is not just an educational necessity but a critical step toward long-term community stability and recovery.  Moreover, the accompanying toolkit in this chapter serves as a sample and guide, offering inspiration through guidelines, templates, and best practices to support stakeholders at every stage of implementation. While not a definitive solution, the toolkit provides a starting point for policymakers, educators, and administrators to tailor strategies to their specific contexts, ensuring that policies achieve their intended impact and drive meaningful improvements in the education sector.</w:t>
      </w:r>
    </w:p>
    <w:p>
      <w:pPr>
        <w:pStyle w:val="Heading2"/>
        <w:spacing w:lineRule="auto"/>
      </w:pPr>
      <w:r>
        <w:rPr/>
        <w:t xml:space="preserve">Glossary Terms</w:t>
      </w:r>
    </w:p>
    <w:p>
      <w:pPr>
        <w:spacing w:lineRule="auto"/>
      </w:pPr>
      <w:r>
        <w:rPr/>
        <w:t xml:space="preserve">Emergencies in Education (EiE): Situations where education systems are disrupted due to crises such as natural disasters, conflicts, or pandemics, requiring immediate and adaptive interventions to ensure continuity of learning.</w:t>
      </w:r>
    </w:p>
    <w:p>
      <w:pPr>
        <w:spacing w:lineRule="auto"/>
      </w:pPr>
      <w:r>
        <w:rPr/>
        <w:t xml:space="preserve">Teacher Professional Development (TPD): Programs or training initiatives aimed at enhancing teachers' knowledge, skills, and practices to better support students, particularly in emergency settings.</w:t>
      </w:r>
    </w:p>
    <w:p>
      <w:pPr>
        <w:spacing w:lineRule="auto"/>
      </w:pPr>
      <w:r>
        <w:rPr/>
        <w:t xml:space="preserve">Post-Traumatic Symptoms: Emotional, physical, or psychological reactions that individuals may experience after exposure to a traumatic event, such as anxiety, stress, or difficulty concentrating, which can significantly impact learning and teaching.</w:t>
      </w:r>
    </w:p>
    <w:p>
      <w:pPr>
        <w:spacing w:lineRule="auto"/>
      </w:pPr>
      <w:r>
        <w:rPr/>
        <w:t xml:space="preserve">Post-Disaster Interventions: Measures and programs implemented after a disaster/crises to restore educational systems.</w:t>
      </w:r>
    </w:p>
    <w:p>
      <w:pPr>
        <w:spacing w:lineRule="auto"/>
      </w:pPr>
      <w:r>
        <w:rPr/>
        <w:t xml:space="preserve">First Responder: Individuals who are the initial point of contact in emergency situations, providing critical aid and support. In the context of education, teachers often act as first responders during emergencies, addressing immediate academic needs of students and their psychological and emotional well-being.</w:t>
      </w:r>
    </w:p>
    <w:p>
      <w:pPr>
        <w:spacing w:lineRule="auto"/>
      </w:pPr>
      <w:r>
        <w:rPr/>
        <w:t xml:space="preserve">Peer-to-Peer Learning Networks: Collaborative platforms where teachers or educators share experiences, resources, and best practices, fostering professional growth and support in challenging contexts</w:t>
      </w:r>
    </w:p>
    <w:p>
      <w:pPr>
        <w:spacing w:lineRule="auto"/>
      </w:pPr>
      <w:r>
        <w:rPr/>
        <w:t xml:space="preserve">.Conflict-Induced Displacement: The forced movement of individuals or communities due to armed conflict, violence, or persecution, often disrupting access to education and necessitating targeted educational responses.</w:t>
      </w:r>
    </w:p>
    <w:p>
      <w:pPr>
        <w:pStyle w:val="Heading2"/>
        <w:spacing w:lineRule="auto"/>
      </w:pPr>
      <w:r>
        <w:rPr/>
        <w:t xml:space="preserve">References</w:t>
      </w:r>
    </w:p>
    <w:p>
      <w:pPr>
        <w:spacing w:lineRule="auto"/>
      </w:pPr>
      <w:r>
        <w:rPr/>
        <w:t xml:space="preserve">Ahmed, M., &amp; Das, S. (2021). A deplorable future for the stateless Rohingya ethnic minority? NGO intervention in refugee camps in Bangladesh. Forced Displacement and NGOs in Asia and the Pacific.</w:t>
      </w:r>
    </w:p>
    <w:p>
      <w:pPr>
        <w:spacing w:lineRule="auto"/>
      </w:pPr>
      <w:r>
        <w:rPr/>
        <w:t xml:space="preserve">Bagdy, L. M., &amp; Stefaniak, J. E. (2022). Utilizing Rapid Needs Assessment to Strengthen PK-12 Teaching and Learning Affordances in Emergency Remote Teaching. In V. Dennen, C. Dickson-Deane, X. Ge, D. Ifenthaler, S. Murthy, &amp; J. C. Richardson (Eds.), Global Perspectives on Educational Innovations for Emergency Situations (pp. 67–75). Springer International Publishing.</w:t>
      </w:r>
      <w:hyperlink r:id="rId13">
        <w:r>
          <w:rPr>
            <w:rStyle w:val="Hyperlink"/>
          </w:rPr>
          <w:t xml:space="preserve"> https://doi.org/10.1007/978-3-030-99634-5_7</w:t>
        </w:r>
      </w:hyperlink>
    </w:p>
    <w:p>
      <w:pPr>
        <w:spacing w:lineRule="auto"/>
      </w:pPr>
      <w:r>
        <w:rPr/>
        <w:t xml:space="preserve">Baten, A., González, P.A., &amp; Delgado, R.C. (2019). Natural Disasters and Management Systems of Bangladesh from 1972 to 2017: Special Focus on Flood.</w:t>
      </w:r>
    </w:p>
    <w:p>
      <w:pPr>
        <w:spacing w:lineRule="auto"/>
      </w:pPr>
      <w:r>
        <w:rPr/>
        <w:t xml:space="preserve">Chondekar, N. R. (2018). Role of Teachers in Disaster Management. International Journal of Science and Research, 8(8).https://www.ijsr.net/archive/v8i8/18012002.pdf</w:t>
      </w:r>
    </w:p>
    <w:p>
      <w:pPr>
        <w:spacing w:lineRule="auto"/>
      </w:pPr>
      <w:r>
        <w:rPr/>
        <w:t xml:space="preserve">Government of Ireland. (n.d.). Wellbeing guidance documents for parents, students, and schools: School staff—Primary schools. Retrieved January 11, 2025, from</w:t>
      </w:r>
      <w:hyperlink r:id="rId14">
        <w:r>
          <w:rPr>
            <w:rStyle w:val="Hyperlink"/>
          </w:rPr>
          <w:t xml:space="preserve"> https://www.gov.ie/en/publication/af24b-wellbeing-guidance-documents-for-parents-students-and-schools/#school-staff-primary-schools</w:t>
        </w:r>
      </w:hyperlink>
    </w:p>
    <w:p>
      <w:pPr>
        <w:spacing w:lineRule="auto"/>
      </w:pPr>
      <w:r>
        <w:rPr/>
        <w:t xml:space="preserve">Habiba, U., &amp; Shaw, R. (2012). Chapter 6 Bangladesh Experiences of Community-Based Disaster Risk Reduction.</w:t>
      </w:r>
    </w:p>
    <w:p>
      <w:pPr>
        <w:spacing w:lineRule="auto"/>
      </w:pPr>
      <w:r>
        <w:rPr/>
        <w:t xml:space="preserve">Hyder, S., Manzoor, A. F., &amp; Iqbal, M. A. (2020). Policy Implementation: Teachers’ Role as First Responders in Emergencies and Disasters. Kesmas: National Public Health Journal, 15(4).</w:t>
      </w:r>
      <w:hyperlink r:id="rId15">
        <w:r>
          <w:rPr>
            <w:rStyle w:val="Hyperlink"/>
          </w:rPr>
          <w:t xml:space="preserve"> https://doi.org/10.21109/kesmas.v15i4.2989</w:t>
        </w:r>
      </w:hyperlink>
    </w:p>
    <w:p>
      <w:pPr>
        <w:spacing w:lineRule="auto"/>
      </w:pPr>
      <w:r>
        <w:rPr/>
        <w:t xml:space="preserve">International Rescue Committee. (n.d.). Healing Classrooms: Resources for teaching refugees and asylum seekers. Retrieved January 11, 2025, from</w:t>
      </w:r>
      <w:hyperlink r:id="rId16">
        <w:r>
          <w:rPr>
            <w:rStyle w:val="Hyperlink"/>
          </w:rPr>
          <w:t xml:space="preserve"> https://www.rescue.org/uk/article/healing-classrooms-resources-teaching-refugees-and-asylum-seekers</w:t>
        </w:r>
      </w:hyperlink>
    </w:p>
    <w:p>
      <w:pPr>
        <w:spacing w:lineRule="auto"/>
      </w:pPr>
      <w:r>
        <w:rPr/>
        <w:t xml:space="preserve">Kenardy, J., De Young, A. C., Le Brocque, R., &amp; March, S. (2011). Childhood trauma reactions: A guide for teachers from preschool to Year 12 (Teachers Manual and Tip Sheet Series). School of Medicine, University of Queensland.</w:t>
      </w:r>
    </w:p>
    <w:p>
      <w:pPr>
        <w:spacing w:lineRule="auto"/>
      </w:pPr>
      <w:r>
        <w:rPr/>
        <w:t xml:space="preserve">Kulatunga, U., Ahmed, P., &amp; Biswas, R. (2012). Disaster Risk Reduction Measures in Bangladesh.</w:t>
      </w:r>
    </w:p>
    <w:p>
      <w:pPr>
        <w:spacing w:lineRule="auto"/>
      </w:pPr>
      <w:r>
        <w:rPr/>
        <w:t xml:space="preserve">Le Brocque, R., De Young, A.C., Montague, G., Pocock, S., March, S., Triggell, N., Rabaa, C., &amp; Kenardy, J.A. (2016). Schools and Natural Disaster Recovery: The Unique and Vital Role That Teachers and Education Professionals Play in Ensuring the Mental Health of Students Following Natural Disasters. Journal of Psychologists and Counsellors in Schools, 27, 1 - 23.</w:t>
      </w:r>
    </w:p>
    <w:p>
      <w:pPr>
        <w:spacing w:lineRule="auto"/>
      </w:pPr>
      <w:r>
        <w:rPr/>
        <w:t xml:space="preserve">Litonjua, E. (2020, December 16). What Is Multimodal Learning? eLearning Industry.</w:t>
      </w:r>
      <w:hyperlink r:id="rId17">
        <w:r>
          <w:rPr>
            <w:rStyle w:val="Hyperlink"/>
          </w:rPr>
          <w:t xml:space="preserve"> https://elearningindustry.com/what-is-multimodal-learning</w:t>
        </w:r>
      </w:hyperlink>
    </w:p>
    <w:p>
      <w:pPr>
        <w:spacing w:lineRule="auto"/>
      </w:pPr>
      <w:r>
        <w:rPr/>
        <w:t xml:space="preserve">Parrott, E., Lomeli-Rodriguez, M., Burgess, R., Rahman, A., Direzkia, Y., &amp; Joffe, H. (2024). The Role of Teachers in Fostering Resilience After a Disaster in Indonesia. School Mental Health.</w:t>
      </w:r>
      <w:hyperlink r:id="rId18">
        <w:r>
          <w:rPr>
            <w:rStyle w:val="Hyperlink"/>
          </w:rPr>
          <w:t xml:space="preserve"> https://doi.org/10.1007/s12310-024-09709-y</w:t>
        </w:r>
      </w:hyperlink>
    </w:p>
    <w:p>
      <w:pPr>
        <w:spacing w:lineRule="auto"/>
      </w:pPr>
      <w:r>
        <w:rPr/>
        <w:t xml:space="preserve">Pokhrel, S., &amp; Chhetri, R. (2021). A Literature Review on Impact of COVID-19 Pandemic on Teaching and Learning. Higher Education for the Future, 8(1), 133–141.</w:t>
      </w:r>
      <w:hyperlink r:id="rId19">
        <w:r>
          <w:rPr>
            <w:rStyle w:val="Hyperlink"/>
          </w:rPr>
          <w:t xml:space="preserve"> https://doi.org/10.1177/2347631120983481</w:t>
        </w:r>
      </w:hyperlink>
    </w:p>
    <w:p>
      <w:pPr>
        <w:spacing w:lineRule="auto"/>
      </w:pPr>
      <w:r>
        <w:rPr/>
        <w:t xml:space="preserve">Prodip, M.A., &amp; Garnett, J. (2019). Emergency Education for Rohingya Refugee Children in Bangladesh. Comparative Perspectives on Refugee Youth Education.</w:t>
      </w:r>
    </w:p>
    <w:p>
      <w:pPr>
        <w:spacing w:lineRule="auto"/>
      </w:pPr>
      <w:r>
        <w:rPr/>
        <w:t xml:space="preserve">Radina, N., &amp; Balakina, J. (2021). Challenges for Education during the Pandemic: An Overview of Literature. Voprosy Obrazovaniya / Educational Studies Moscow, 2021, 178–194.</w:t>
      </w:r>
      <w:hyperlink r:id="rId20">
        <w:r>
          <w:rPr>
            <w:rStyle w:val="Hyperlink"/>
          </w:rPr>
          <w:t xml:space="preserve"> https://doi.org/10.17323/1814-9545-2021-1-178-194</w:t>
        </w:r>
      </w:hyperlink>
    </w:p>
    <w:p>
      <w:pPr>
        <w:spacing w:lineRule="auto"/>
      </w:pPr>
      <w:r>
        <w:rPr/>
        <w:t xml:space="preserve">Save the Children. (n.d.). Save the Children Inclusive Education in Emergencies. Save the Children’s Resource Centre. Retrieved January 20, 2025, from</w:t>
      </w:r>
      <w:hyperlink r:id="rId21">
        <w:r>
          <w:rPr>
            <w:rStyle w:val="Hyperlink"/>
          </w:rPr>
          <w:t xml:space="preserve"> https://resource-centre.savethechildren.net/pdf/sc_inclusive_education_in_emergencies_0.pdf/</w:t>
        </w:r>
      </w:hyperlink>
    </w:p>
    <w:p>
      <w:pPr>
        <w:spacing w:lineRule="auto"/>
      </w:pPr>
      <w:r>
        <w:rPr/>
        <w:t xml:space="preserve">Teachers at the heart of education recovery. (n.d.). Retrieved January 11, 2025, from</w:t>
      </w:r>
      <w:hyperlink r:id="rId22">
        <w:r>
          <w:rPr>
            <w:rStyle w:val="Hyperlink"/>
          </w:rPr>
          <w:t xml:space="preserve"> https://www.unicef.org/eca/press-releases/teachers-heart-education-recovery</w:t>
        </w:r>
      </w:hyperlink>
    </w:p>
    <w:p>
      <w:pPr>
        <w:spacing w:lineRule="auto"/>
      </w:pPr>
      <w:r>
        <w:rPr/>
        <w:t xml:space="preserve">Therapist Aid. (n.d.). Self-care assessment. Retrieved January 11, 2025, from</w:t>
      </w:r>
      <w:hyperlink r:id="rId23">
        <w:r>
          <w:rPr>
            <w:rStyle w:val="Hyperlink"/>
          </w:rPr>
          <w:t xml:space="preserve"> https://www.therapistaid.com/worksheets/self-care-assessment.pdf</w:t>
        </w:r>
      </w:hyperlink>
    </w:p>
    <w:p>
      <w:pPr>
        <w:spacing w:lineRule="auto"/>
      </w:pPr>
      <w:r>
        <w:rPr/>
        <w:t xml:space="preserve">University of Chicago Illinois . (2023). Trauma-Informed Teaching in Times of Crisis | Center for the Advancement of Teaching Excellence | University of Illinois Chicago.</w:t>
      </w:r>
      <w:hyperlink r:id="rId24">
        <w:r>
          <w:rPr>
            <w:rStyle w:val="Hyperlink"/>
          </w:rPr>
          <w:t xml:space="preserve"> https://teaching.uic.edu/news-stories/trauma-informed-teaching-in-times-of-crisis/</w:t>
        </w:r>
      </w:hyperlink>
    </w:p>
    <w:p>
      <w:pPr>
        <w:spacing w:lineRule="auto"/>
      </w:pPr>
      <w:r>
        <w:rPr/>
        <w:t xml:space="preserve">University of Illinois. (2020, April 20). Calm in the chaos of COVID-19: Helping the helpers. Retrieved January 11, 2025, from</w:t>
      </w:r>
      <w:hyperlink r:id="rId25">
        <w:r>
          <w:rPr>
            <w:rStyle w:val="Hyperlink"/>
          </w:rPr>
          <w:t xml:space="preserve"> https://blogs.illinois.edu/view/6039/175193</w:t>
        </w:r>
      </w:hyperlink>
    </w:p>
    <w:p>
      <w:pPr>
        <w:spacing w:lineRule="auto"/>
      </w:pPr>
      <w:r>
        <w:rPr/>
        <w:t xml:space="preserve">Wolmer, L., Laor, N., &amp; Yazgan, Y. (2003). School reactivation programs after disaster: Could teachers serve as clinical mediators? Child and Adolescent Psychiatric Clinics of North America, 12, 363–381</w:t>
      </w:r>
    </w:p>
    <w:p>
      <w:pPr>
        <w:spacing w:lineRule="auto"/>
      </w:pPr>
      <w:r>
        <w:rPr/>
      </w:r>
    </w:p>
    <w:p>
      <w:pPr>
        <w:spacing w:lineRule="auto"/>
      </w:pPr>
      <w:r>
        <w:rPr/>
      </w:r>
    </w:p>
    <w:p>
      <w:pPr>
        <w:spacing w:lineRule="auto"/>
      </w:pPr>
      <w:r>
        <w:rPr/>
      </w:r>
    </w:p>
    <w:p>
      <w:pPr>
        <w:spacing w:lineRule="auto"/>
      </w:pPr>
      <w:r>
        <w:rPr/>
        <w:t xml:space="preserve">Read this online at </w:t>
      </w:r>
      <w:hyperlink r:id="rId26">
        <w:r>
          <w:rPr>
            <w:rStyle w:val="Hyperlink"/>
          </w:rPr>
          <w:t xml:space="preserve">https://edtechbooks.org/teachers-as-designers/jycfabixpl</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A6BameZ_0ojnX0eukNcIL.jpeg" TargetMode="Internal"/>
  <Relationship Id="rId7" Type="http://schemas.openxmlformats.org/officeDocument/2006/relationships/image" Target="media/image-dm1GwfFXpGiW9crJse2Y4.jpeg" TargetMode="Internal"/>
  <Relationship Id="rId8" Type="http://schemas.openxmlformats.org/officeDocument/2006/relationships/hyperlink" Target="#" TargetMode="External"/>
  <Relationship Id="rId9" Type="http://schemas.openxmlformats.org/officeDocument/2006/relationships/hyperlink" Target="#" TargetMode="External"/>
  <Relationship Id="rId10" Type="http://schemas.openxmlformats.org/officeDocument/2006/relationships/hyperlink" Target="#" TargetMode="External"/>
  <Relationship Id="rId11" Type="http://schemas.openxmlformats.org/officeDocument/2006/relationships/hyperlink" Target="#" TargetMode="External"/>
  <Relationship Id="rId12" Type="http://schemas.openxmlformats.org/officeDocument/2006/relationships/hyperlink" Target="#" TargetMode="External"/>
  <Relationship Id="rId13" Type="http://schemas.openxmlformats.org/officeDocument/2006/relationships/hyperlink" Target="https://doi.org/10.1007/978-3-030-99634-5_7" TargetMode="External"/>
  <Relationship Id="rId14" Type="http://schemas.openxmlformats.org/officeDocument/2006/relationships/hyperlink" Target="https://www.gov.ie/en/publication/af24b-wellbeing-guidance-documents-for-parents-students-and-schools/#school-staff-primary-schools" TargetMode="External"/>
  <Relationship Id="rId15" Type="http://schemas.openxmlformats.org/officeDocument/2006/relationships/hyperlink" Target="https://doi.org/10.21109/kesmas.v15i4.2989" TargetMode="External"/>
  <Relationship Id="rId16" Type="http://schemas.openxmlformats.org/officeDocument/2006/relationships/hyperlink" Target="https://www.rescue.org/uk/article/healing-classrooms-resources-teaching-refugees-and-asylum-seekers" TargetMode="External"/>
  <Relationship Id="rId17" Type="http://schemas.openxmlformats.org/officeDocument/2006/relationships/hyperlink" Target="https://elearningindustry.com/what-is-multimodal-learning" TargetMode="External"/>
  <Relationship Id="rId18" Type="http://schemas.openxmlformats.org/officeDocument/2006/relationships/hyperlink" Target="https://doi.org/10.1007/s12310-024-09709-y" TargetMode="External"/>
  <Relationship Id="rId19" Type="http://schemas.openxmlformats.org/officeDocument/2006/relationships/hyperlink" Target="https://doi.org/10.1177/2347631120983481" TargetMode="External"/>
  <Relationship Id="rId20" Type="http://schemas.openxmlformats.org/officeDocument/2006/relationships/hyperlink" Target="https://doi.org/10.17323/1814-9545-2021-1-178-194" TargetMode="External"/>
  <Relationship Id="rId21" Type="http://schemas.openxmlformats.org/officeDocument/2006/relationships/hyperlink" Target="https://resource-centre.savethechildren.net/pdf/sc_inclusive_education_in_emergencies_0.pdf/" TargetMode="External"/>
  <Relationship Id="rId22" Type="http://schemas.openxmlformats.org/officeDocument/2006/relationships/hyperlink" Target="https://www.unicef.org/eca/press-releases/teachers-heart-education-recovery" TargetMode="External"/>
  <Relationship Id="rId23" Type="http://schemas.openxmlformats.org/officeDocument/2006/relationships/hyperlink" Target="https://www.therapistaid.com/worksheets/self-care-assessment.pdf" TargetMode="External"/>
  <Relationship Id="rId24" Type="http://schemas.openxmlformats.org/officeDocument/2006/relationships/hyperlink" Target="https://teaching.uic.edu/news-stories/trauma-informed-teaching-in-times-of-crisis/" TargetMode="External"/>
  <Relationship Id="rId25" Type="http://schemas.openxmlformats.org/officeDocument/2006/relationships/hyperlink" Target="https://blogs.illinois.edu/view/6039/175193" TargetMode="External"/>
  <Relationship Id="rId26" Type="http://schemas.openxmlformats.org/officeDocument/2006/relationships/hyperlink" Target="https://edtechbooks.org/teachers-as-designers/jycfabixpl" TargetMode="External"/>
  <Relationship Id="rId27"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2026-05-24T09:14:42.179Z</dcterms:created>
  <dcterms:modified xsi:type="dcterms:W3CDTF">2026-05-24T09:14:42.179Z</dcterms:modified>
</cp:coreProperties>
</file>