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Informal Social Media Activities in Online Learning</w:t>
      </w:r>
    </w:p>
    <w:p>
      <w:pPr>
        <w:spacing w:lineRule="auto"/>
      </w:pPr>
      <w:r>
        <w:rPr/>
        <w:t xml:space="preserve">Choi, H., Park, Y., Xiaoxue, C.</w:t>
      </w:r>
    </w:p>
    <w:p>
      <w:pPr>
        <w:spacing w:lineRule="auto"/>
      </w:pPr>
      <w:r>
        <w:rPr/>
        <w:t xml:space="preserve">A sense of community positively relates to students’ engagement, increasing learning and satisfaction. Previous studies on the sense of community have focused on academic interactions. This study investigates the potential for enhancing the sense of community among online learners through informal social media activities. A total of 20 undergraduate students completed surveys and participated in three-week Instagram activities. The study revealed the potential to foster students’ sense of community by incorporating informal social media activities into online learning.</w:t>
      </w:r>
    </w:p>
    <w:p>
      <w:pPr>
        <w:spacing w:lineRule="auto"/>
      </w:pPr>
      <w:r>
        <w:rPr/>
        <w:t xml:space="preserve">Introduction</w:t>
      </w:r>
    </w:p>
    <w:p>
      <w:pPr>
        <w:spacing w:lineRule="auto"/>
      </w:pPr>
      <w:r>
        <w:rPr/>
        <w:t xml:space="preserve">The benefits of online learning are widely recognized. However, many students still prefer face-to-face interactions due to a lack of social and teaching presence, delayed responses and encouragement, and feelings of isolation (Bowers &amp; Kumar, 2015; Gray &amp; DiLoreto, 2016). Among these barriers, feelings of isolation are closely tied to the absence of a sense of community among online learners, which social interactions can nurture (Rovai, 2002a). Studies have consistently shown how a strong sense of community positively impacts students’ engagement, increasing learning and satisfaction (Dawson, 2006; Lear et al., 2010; Oliphant &amp; Branch-Mueller, 2016). These studies on the sense of community have primarily focused on structured academic interactions, such as discussion forums. However, informal interactions can also foster a sense of community. Social media serves as a platform to foster interpersonal connections and reduce emotional distance among students (Guy, 2012). Students can express support and share emotions on social media by liking posts or leaving comments (Fernandes &amp; Castro, 2020).</w:t>
      </w:r>
    </w:p>
    <w:p>
      <w:pPr>
        <w:spacing w:lineRule="auto"/>
      </w:pPr>
      <w:r>
        <w:rPr/>
        <w:t xml:space="preserve">Although there is a growing body of research on the use of social media in education (e.g., Akcaoglu &amp; Lee, 2018; Sánchez et al., 2014), studies specifically examining its role in fostering a sense of community remain limited (Dennen et al., 2020). This study explores the potential of informal social media activities to enhance a sense of community among online learners. The guiding research questions are:</w:t>
      </w:r>
    </w:p>
    <w:p>
      <w:pPr>
        <w:numPr>
          <w:ilvl w:val="0"/>
          <w:numId w:val="1"/>
        </w:numPr>
        <w:spacing w:lineRule="auto"/>
      </w:pPr>
      <w:r>
        <w:rPr/>
        <w:t xml:space="preserve">How do students engage with informal Instagram activities in an online learning context?</w:t>
      </w:r>
    </w:p>
    <w:p>
      <w:pPr>
        <w:numPr>
          <w:ilvl w:val="0"/>
          <w:numId w:val="1"/>
        </w:numPr>
        <w:spacing w:lineRule="auto"/>
      </w:pPr>
      <w:r>
        <w:rPr/>
        <w:t xml:space="preserve">Does participation in informal Instagram activities relate to students’ social media usage and their perception of using it in education?</w:t>
      </w:r>
    </w:p>
    <w:p>
      <w:pPr>
        <w:numPr>
          <w:ilvl w:val="0"/>
          <w:numId w:val="1"/>
        </w:numPr>
        <w:spacing w:lineRule="auto"/>
      </w:pPr>
      <w:r>
        <w:rPr/>
        <w:t xml:space="preserve">Does participation in informal Instagram activities relate to students’ sense of community?</w:t>
      </w:r>
    </w:p>
    <w:p>
      <w:pPr>
        <w:pStyle w:val="Heading2"/>
        <w:spacing w:lineRule="auto"/>
      </w:pPr>
      <w:r>
        <w:rPr/>
        <w:t xml:space="preserve">Method</w:t>
      </w:r>
    </w:p>
    <w:p>
      <w:pPr>
        <w:pStyle w:val="Heading3"/>
        <w:spacing w:lineRule="auto"/>
      </w:pPr>
      <w:r>
        <w:rPr/>
        <w:t xml:space="preserve">Research Setting</w:t>
      </w:r>
    </w:p>
    <w:p>
      <w:pPr>
        <w:spacing w:lineRule="auto"/>
      </w:pPr>
      <w:r>
        <w:rPr/>
        <w:t xml:space="preserve">This study occurred in a 12-week online course for undergraduate students at a large state university. From weeks 7 to 9, students were required to make at least two weekly posts on Instagram or the Canvas discussion board. The instructor and TA did not participate, and no specific topics were given; students were directed to share anything of their choice using the class hashtag.</w:t>
      </w:r>
    </w:p>
    <w:p>
      <w:pPr>
        <w:pStyle w:val="Heading3"/>
        <w:spacing w:lineRule="auto"/>
      </w:pPr>
      <w:r>
        <w:rPr/>
        <w:t xml:space="preserve">Data Collection</w:t>
      </w:r>
    </w:p>
    <w:p>
      <w:pPr>
        <w:spacing w:lineRule="auto"/>
      </w:pPr>
      <w:r>
        <w:rPr/>
        <w:t xml:space="preserve">Out of 26 students, 20 participated in the Instagram activity. In week 7, students completed an online survey regarding their social media usage and perception of using it in education. In week 12, they completed another survey to measure their sense of community (Rovai, 2002b), which also included open-ended questions.      </w:t>
      </w:r>
    </w:p>
    <w:p>
      <w:pPr>
        <w:pStyle w:val="Heading2"/>
        <w:spacing w:lineRule="auto"/>
      </w:pPr>
      <w:r>
        <w:rPr/>
        <w:t xml:space="preserve">Data Analysis</w:t>
      </w:r>
    </w:p>
    <w:p>
      <w:pPr>
        <w:spacing w:lineRule="auto"/>
      </w:pPr>
      <w:r>
        <w:rPr/>
        <w:t xml:space="preserve">The survey results were analyzed using descriptive statistics. Social Network Analysis (SNA) with NodeXL was employed to examine three weeks of student interactions within Instagram, focusing on eight network properties (see Table 1). Additionally, thematic analysis was performed to interpret the responses to the open-ended survey questions.</w:t>
      </w:r>
    </w:p>
    <w:p>
      <w:pPr>
        <w:spacing w:lineRule="auto"/>
      </w:pPr>
      <w:r>
        <w:rPr/>
      </w:r>
    </w:p>
    <w:p>
      <w:pPr>
        <w:spacing w:lineRule="auto"/>
      </w:pPr>
      <w:r>
        <w:rPr>
          <w:b/>
        </w:rPr>
        <w:t xml:space="preserve">Table 1</w:t>
      </w:r>
    </w:p>
    <w:p>
      <w:pPr>
        <w:spacing w:lineRule="auto"/>
      </w:pPr>
      <w:r>
        <w:rPr/>
        <w:t xml:space="preserve">Definition of Network Properties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Property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Definition</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In-degree Centrality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Number of unique incoming edges to a node.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Out-degree Centrality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Number of unique outgoing edges from a node.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Betweenness Centrality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Extent to which a node lies on paths between other nodes.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Closeness Centrality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Inverse of the total shortest path lengths from a node to all reachable nodes.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Eigenvector Centrality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Importance of a node within a network.</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Geodesic Distance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Shortest path length between two nodes.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Reciprocity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Likelihood of mutual links between nodes.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Density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Ratio of existing edges to possible edges in the network</w:t>
            </w:r>
          </w:p>
        </w:tc>
      </w:tr>
    </w:tbl>
    <w:p>
      <w:pPr>
        <w:spacing w:lineRule="auto"/>
      </w:pPr>
      <w:r>
        <w:rPr/>
      </w:r>
    </w:p>
    <w:p>
      <w:pPr>
        <w:pStyle w:val="Heading2"/>
        <w:spacing w:lineRule="auto"/>
      </w:pPr>
      <w:r>
        <w:rPr/>
        <w:t xml:space="preserve">Findings</w:t>
      </w:r>
    </w:p>
    <w:p>
      <w:pPr>
        <w:pStyle w:val="Heading3"/>
        <w:spacing w:lineRule="auto"/>
      </w:pPr>
      <w:r>
        <w:rPr/>
        <w:t xml:space="preserve">Student Engagement and Social Network Dynamics</w:t>
      </w:r>
    </w:p>
    <w:p>
      <w:pPr>
        <w:spacing w:lineRule="auto"/>
      </w:pPr>
      <w:r>
        <w:rPr/>
        <w:t xml:space="preserve">A total of 20 students participated in the Instagram activity through posting, responding, or liking. Over three weeks, students averaged 2.28 original posts, 1.15 responses, and 7.41 likes per week. While the number of original posts was relatively low, most students actively engaged by liking their classmates’ posts. The Instagram network (see Figure 1) showed a density of 0.53 and an average degree centrality of 10.2. The network is well-connected, as indicated by a reciprocity value of 0.44, meaning approximately 44% of connections were reciprocated through likes or responses.</w:t>
      </w:r>
    </w:p>
    <w:p>
      <w:pPr>
        <w:spacing w:lineRule="auto"/>
      </w:pPr>
      <w:r>
        <w:rPr>
          <w:b/>
        </w:rPr>
        <w:t xml:space="preserve">Figure 1 </w:t>
      </w:r>
    </w:p>
    <w:p>
      <w:pPr>
        <w:spacing w:lineRule="auto"/>
      </w:pPr>
      <w:r>
        <w:rPr/>
        <w:t xml:space="preserve">Social Network in Informal Instagram Community</w:t>
      </w:r>
    </w:p>
    <w:p>
      <w:pPr>
        <w:spacing w:lineRule="auto"/>
      </w:pPr>
      <w:r>
        <w:rPr/>
        <w:drawing>
          <wp:inline distB="0" distL="0" distR="0" distT="0">
            <wp:extent cx="5486400" cy="6583680"/>
            <wp:effectExtent b="0" l="0" r="0" t="0"/>
            <wp:docPr id="2" name="image-d3_r4e0lhCBCWo7KMRY7J.png"/>
            <a:graphic>
              <a:graphicData uri="http://schemas.openxmlformats.org/drawingml/2006/picture">
                <pic:pic>
                  <pic:nvPicPr>
                    <pic:cNvPr id="2" name="image-d3_r4e0lhCBCWo7KMRY7J.png" descr="This network visualization depicts student engagement in an informal Instagram community, where larger nodes indicate higher participation (posts, responses, and likes), and thicker edges represent more frequent interactions. The network has a density of 0.53, an average degree centrality of 10.2, and a reciprocity value of 0.44, highlighting a well-connected structure with 44% of interactions being mutual."/>
                    <pic:cNvPicPr/>
                  </pic:nvPicPr>
                  <pic:blipFill>
                    <a:blip r:embed="rId7" cstate="print"/>
                    <a:srcRect b="0" l="0" r="0" t="0"/>
                    <a:stretch>
                      <a:fillRect/>
                    </a:stretch>
                  </pic:blipFill>
                  <pic:spPr>
                    <a:xfrm>
                      <a:off x="0" y="0"/>
                      <a:ext cx="5486400" cy="6583680"/>
                    </a:xfrm>
                    <a:prstGeom prst="rect"/>
                  </pic:spPr>
                </pic:pic>
              </a:graphicData>
            </a:graphic>
          </wp:inline>
        </w:drawing>
      </w:r>
    </w:p>
    <w:p>
      <w:pPr>
        <w:spacing w:lineRule="auto"/>
      </w:pPr>
      <w:r>
        <w:rPr/>
      </w:r>
    </w:p>
    <w:p>
      <w:pPr>
        <w:spacing w:lineRule="auto"/>
      </w:pPr>
      <w:r>
        <w:rPr/>
        <w:t xml:space="preserve">Note.</w:t>
      </w:r>
      <w:r>
        <w:rPr/>
        <w:t xml:space="preserve"> Node size represents total participation (posts, responses, and likes), while edge width reflects the frequency of interactions between nodes.</w:t>
      </w:r>
    </w:p>
    <w:p>
      <w:pPr>
        <w:spacing w:lineRule="auto"/>
      </w:pPr>
      <w:r>
        <w:rPr/>
      </w:r>
    </w:p>
    <w:p>
      <w:pPr>
        <w:spacing w:lineRule="auto"/>
      </w:pPr>
      <w:r>
        <w:rPr/>
        <w:t xml:space="preserve">Eight participants engaged only by liking classmates’ posts without responding. Six students (S01, S02, S08, S14, S18, S20) were the most active participants, with total participation exceeding the group average (M=32.55). These students demonstrated higher out-degree than in-degree values, indicating their strong influence on others. This influence is further supported by their higher betweenness, closeness, and eigenvector centrality scores (see Table 2).</w:t>
      </w:r>
    </w:p>
    <w:p>
      <w:pPr>
        <w:spacing w:lineRule="auto"/>
      </w:pPr>
      <w:r>
        <w:rPr/>
      </w:r>
    </w:p>
    <w:p>
      <w:pPr>
        <w:spacing w:lineRule="auto"/>
      </w:pPr>
      <w:r>
        <w:rPr>
          <w:b/>
        </w:rPr>
        <w:t xml:space="preserve">Table 2 </w:t>
      </w:r>
    </w:p>
    <w:p>
      <w:pPr>
        <w:spacing w:lineRule="auto"/>
      </w:pPr>
      <w:r>
        <w:rPr/>
        <w:t xml:space="preserve">Instagram Community Participants’ Network Properties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960"/>
        <w:gridCol w:w="960"/>
        <w:gridCol w:w="960"/>
        <w:gridCol w:w="960"/>
        <w:gridCol w:w="960"/>
        <w:gridCol w:w="960"/>
        <w:gridCol w:w="960"/>
        <w:gridCol w:w="960"/>
        <w:gridCol w:w="96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Students ID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Posts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Responses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Likes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In-Degree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Out-Degree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Betweenness Centrality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Closeness Centrality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Eigenvector Centrality</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S01*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9.56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0.95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0.27</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S02*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9.56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0.95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0.27</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S03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1.37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0.68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0.16</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S04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4.74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0.83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0.23</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S05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3.22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0.79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0.22</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S06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4.95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0.83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0.23</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S07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4.84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0.83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0.23</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S08*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11.01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0.95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0.27</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S09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4.04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0.76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0.20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S10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5.10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0.79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0.22</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S11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0.00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0.63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0.14</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S12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0.65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0.66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0.15</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S13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2.88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0.76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0.20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S14*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6.74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0.91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0.26</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S15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3.92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0.79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0.22</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S16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1.12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0.73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0.20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S17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4.55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0.83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0.25</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S18*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8.69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0.91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0.26</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S19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1.55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0.66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0.14</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S20*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106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9.51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0.95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0.27</w:t>
            </w:r>
          </w:p>
        </w:tc>
      </w:tr>
    </w:tbl>
    <w:p>
      <w:pPr>
        <w:spacing w:lineRule="auto"/>
      </w:pPr>
      <w:r>
        <w:rPr/>
      </w:r>
    </w:p>
    <w:p>
      <w:pPr>
        <w:spacing w:lineRule="auto"/>
      </w:pPr>
      <w:r>
        <w:rPr/>
        <w:t xml:space="preserve">Note. </w:t>
      </w:r>
      <w:r>
        <w:rPr/>
        <w:t xml:space="preserve">Students in the high participation group, which have a total number of participation (i.e., the combination of posts, responses, and likes) higher than the mean (M=32.55), are marked with an asterisk (*).</w:t>
      </w:r>
    </w:p>
    <w:p>
      <w:pPr>
        <w:pStyle w:val="Heading3"/>
        <w:spacing w:lineRule="auto"/>
      </w:pPr>
      <w:r>
        <w:rPr/>
        <w:t xml:space="preserve">Social Media Usage, Student Participation, and Sense of Community  </w:t>
      </w:r>
    </w:p>
    <w:p>
      <w:pPr>
        <w:spacing w:lineRule="auto"/>
      </w:pPr>
      <w:r>
        <w:rPr/>
        <w:t xml:space="preserve">In the informal Instagram activity, students in the high participation group (with total participation above the mean) reported higher social media usage (3.75) than those in the low participation group (2.79). However, perceptions of social media use in education and a sense of community, measured at the end of the semester (Week 12), showed no significant differences between the two groups (see Table 3).  </w:t>
      </w:r>
    </w:p>
    <w:p>
      <w:pPr>
        <w:spacing w:lineRule="auto"/>
      </w:pPr>
      <w:r>
        <w:rPr/>
      </w:r>
    </w:p>
    <w:p>
      <w:pPr>
        <w:spacing w:lineRule="auto"/>
      </w:pPr>
      <w:r>
        <w:rPr>
          <w:b/>
        </w:rPr>
        <w:t xml:space="preserve">Table 3 </w:t>
      </w:r>
    </w:p>
    <w:p>
      <w:pPr>
        <w:spacing w:lineRule="auto"/>
      </w:pPr>
      <w:r>
        <w:rPr/>
        <w:t xml:space="preserve">Comparison Between High and Low Participation Groups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880"/>
        <w:gridCol w:w="2880"/>
        <w:gridCol w:w="288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Measures for Comparison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High Participation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Low Participation</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 Social Media Usage Level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3.75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2.79</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2 Perception of Using Social Media in Education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3.46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3.60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3 Sense of Community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3.15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3.01</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4 In-degree Centrality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5.67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9.14</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5 Out-degree Centrality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16.17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7.64</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6 Betweenness Centrality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29.33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5.616</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7 Closeness Centrality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0.92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0.75</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8 Eigenvector Centrality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0.33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0.22</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9 Geodesic Distance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1.43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1.27</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10 Reciprocity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0.22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0.37</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11 Density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0.30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0.46</w:t>
            </w:r>
          </w:p>
        </w:tc>
      </w:tr>
    </w:tbl>
    <w:p>
      <w:pPr>
        <w:spacing w:lineRule="auto"/>
      </w:pPr>
      <w:r>
        <w:rPr/>
      </w:r>
    </w:p>
    <w:p>
      <w:pPr>
        <w:spacing w:lineRule="auto"/>
      </w:pPr>
      <w:r>
        <w:rPr/>
        <w:t xml:space="preserve">Note.</w:t>
      </w:r>
      <w:r>
        <w:rPr/>
        <w:t xml:space="preserve"> Measures 1–9 represent the group averages. Measures 1–3 used a Likert scale ranging from 1 (“Strongly disagree”) to 5 (“Strongly agree”).</w:t>
      </w:r>
    </w:p>
    <w:p>
      <w:pPr>
        <w:spacing w:lineRule="auto"/>
      </w:pPr>
      <w:r>
        <w:rPr/>
      </w:r>
    </w:p>
    <w:p>
      <w:pPr>
        <w:spacing w:lineRule="auto"/>
      </w:pPr>
      <w:r>
        <w:rPr/>
        <w:t xml:space="preserve">Regarding network dynamics, students in the high participation group exhibited higher average out-degree, betweenness, closeness, and eigenvector centrality, indicating they connected with more peers and acted as key bridges within the network. However, students in the low participation group had a higher in-degree centrality (9.14 vs. 5.67), meaning they received more likes and comments on average than those in the high participation group.</w:t>
      </w:r>
    </w:p>
    <w:p>
      <w:pPr>
        <w:spacing w:lineRule="auto"/>
      </w:pPr>
      <w:r>
        <w:rPr/>
        <w:t xml:space="preserve">As shown in Figures 2 and 3, reciprocity (0.22) and density (0.30) were lower in the high participation group than in the low participation group (reciprocity: 0.37, density: 0.46). While students in the high participation group interacted with a larger number of peers, their engagement was more dispersed, with fewer sustained back-and-forth interactions, resulting in lower reciprocity. This also contributed to lower density, as interactions were spread across the network rather than concentrated within a close-knit network.</w:t>
      </w:r>
    </w:p>
    <w:p>
      <w:pPr>
        <w:spacing w:lineRule="auto"/>
      </w:pPr>
      <w:r>
        <w:rPr/>
        <w:t xml:space="preserve">In summary, the higher out-degree and betweenness centrality in the high participation group suggests that these students were more engaged in one-way interactions, initiating connections across a broad network rather than fostering mutual exchanges. In contrast, students in the low participation group had fewer but more reciprocal and densely connected interactions, likely forming stronger local connections despite lower overall activity.</w:t>
      </w:r>
    </w:p>
    <w:p>
      <w:pPr>
        <w:spacing w:lineRule="auto"/>
      </w:pPr>
      <w:r>
        <w:rPr/>
      </w:r>
    </w:p>
    <w:p>
      <w:pPr>
        <w:spacing w:lineRule="auto"/>
      </w:pPr>
      <w:r>
        <w:rPr>
          <w:b/>
        </w:rPr>
        <w:t xml:space="preserve">Figure 2 </w:t>
      </w:r>
    </w:p>
    <w:p>
      <w:pPr>
        <w:spacing w:lineRule="auto"/>
      </w:pPr>
      <w:r>
        <w:rPr/>
        <w:t xml:space="preserve">High Participation Group (Total participation &gt; Mean)</w:t>
      </w:r>
      <w:r>
        <w:rPr/>
        <w:t xml:space="preserve"> </w:t>
      </w:r>
    </w:p>
    <w:p>
      <w:pPr>
        <w:spacing w:lineRule="auto"/>
      </w:pPr>
      <w:r>
        <w:rPr/>
        <w:drawing>
          <wp:inline distB="0" distL="0" distR="0" distT="0">
            <wp:extent cx="5486400" cy="4226366"/>
            <wp:effectExtent b="0" l="0" r="0" t="0"/>
            <wp:docPr id="4" name="image-SoAtSBsmT9LLYS2mwEhEU.png"/>
            <a:graphic>
              <a:graphicData uri="http://schemas.openxmlformats.org/drawingml/2006/picture">
                <pic:pic>
                  <pic:nvPicPr>
                    <pic:cNvPr id="4" name="image-SoAtSBsmT9LLYS2mwEhEU.png" descr="This network visualization represents the high participation group, where students with total participation above the mean are shown. Larger nodes indicate more active participants, and directed edges represent interaction flow, with thicker edges signifying higher engagement. This network has a lower reciprocity (0.22) and density (0.30), suggesting that students in this group engaged more in one-way interactions rather than reciprocal exchanges."/>
                    <pic:cNvPicPr/>
                  </pic:nvPicPr>
                  <pic:blipFill>
                    <a:blip r:embed="rId9" cstate="print"/>
                    <a:srcRect b="0" l="0" r="0" t="0"/>
                    <a:stretch>
                      <a:fillRect/>
                    </a:stretch>
                  </pic:blipFill>
                  <pic:spPr>
                    <a:xfrm>
                      <a:off x="0" y="0"/>
                      <a:ext cx="5486400" cy="4226366"/>
                    </a:xfrm>
                    <a:prstGeom prst="rect"/>
                  </pic:spPr>
                </pic:pic>
              </a:graphicData>
            </a:graphic>
          </wp:inline>
        </w:drawing>
      </w:r>
    </w:p>
    <w:p>
      <w:pPr>
        <w:spacing w:lineRule="auto"/>
      </w:pPr>
      <w:r>
        <w:rPr/>
      </w:r>
    </w:p>
    <w:p>
      <w:pPr>
        <w:spacing w:lineRule="auto"/>
      </w:pPr>
      <w:r>
        <w:rPr/>
        <w:t xml:space="preserve">Note. </w:t>
      </w:r>
      <w:r>
        <w:rPr/>
        <w:t xml:space="preserve">This diagram shows only students connected to the high-participation group (Squares: high-participation, Circles: low-participation).</w:t>
      </w:r>
    </w:p>
    <w:p>
      <w:pPr>
        <w:spacing w:lineRule="auto"/>
      </w:pPr>
      <w:r>
        <w:rPr/>
      </w:r>
    </w:p>
    <w:p>
      <w:pPr>
        <w:spacing w:lineRule="auto"/>
      </w:pPr>
      <w:r>
        <w:rPr>
          <w:b/>
        </w:rPr>
        <w:t xml:space="preserve">Figure 3 </w:t>
      </w:r>
    </w:p>
    <w:p>
      <w:pPr>
        <w:spacing w:lineRule="auto"/>
      </w:pPr>
      <w:r>
        <w:rPr/>
        <w:t xml:space="preserve">Low Participation Group (Total participation &lt; Mean)</w:t>
      </w:r>
    </w:p>
    <w:p>
      <w:pPr>
        <w:spacing w:lineRule="auto"/>
      </w:pPr>
      <w:r>
        <w:rPr/>
        <w:drawing>
          <wp:inline distB="0" distL="0" distR="0" distT="0">
            <wp:extent cx="5486400" cy="5160528"/>
            <wp:effectExtent b="0" l="0" r="0" t="0"/>
            <wp:docPr id="6" name="image-jTsFq-yks-WbK6gIMAm3J.png"/>
            <a:graphic>
              <a:graphicData uri="http://schemas.openxmlformats.org/drawingml/2006/picture">
                <pic:pic>
                  <pic:nvPicPr>
                    <pic:cNvPr id="6" name="image-jTsFq-yks-WbK6gIMAm3J.png" descr="This network visualization depicts the low participation group, consisting of students whose total participation falls below the mean. Larger nodes indicate more active participants, while directed edges represent interaction flow, with thicker edges denoting higher engagement levels. Unlike the high participation group, this network exhibits greater reciprocity (0.37) and density (0.46), suggesting that students in this group were more likely to engage in mutual, two-way interactions rather than primarily one-way exchanges."/>
                    <pic:cNvPicPr/>
                  </pic:nvPicPr>
                  <pic:blipFill>
                    <a:blip r:embed="rId11" cstate="print"/>
                    <a:srcRect b="0" l="0" r="0" t="0"/>
                    <a:stretch>
                      <a:fillRect/>
                    </a:stretch>
                  </pic:blipFill>
                  <pic:spPr>
                    <a:xfrm>
                      <a:off x="0" y="0"/>
                      <a:ext cx="5486400" cy="5160528"/>
                    </a:xfrm>
                    <a:prstGeom prst="rect"/>
                  </pic:spPr>
                </pic:pic>
              </a:graphicData>
            </a:graphic>
          </wp:inline>
        </w:drawing>
      </w:r>
    </w:p>
    <w:p>
      <w:pPr>
        <w:spacing w:lineRule="auto"/>
      </w:pPr>
      <w:r>
        <w:rPr/>
      </w:r>
    </w:p>
    <w:p>
      <w:pPr>
        <w:spacing w:lineRule="auto"/>
      </w:pPr>
      <w:r>
        <w:rPr/>
        <w:t xml:space="preserve">Note</w:t>
      </w:r>
      <w:r>
        <w:rPr/>
        <w:t xml:space="preserve">. This diagram shows only students connected to the low-participation group (Squares: high-participation, Circles: low-participation).</w:t>
      </w:r>
    </w:p>
    <w:p>
      <w:pPr>
        <w:spacing w:lineRule="auto"/>
      </w:pPr>
      <w:r>
        <w:rPr/>
      </w:r>
    </w:p>
    <w:p>
      <w:pPr>
        <w:spacing w:lineRule="auto"/>
      </w:pPr>
      <w:r>
        <w:rPr/>
        <w:t xml:space="preserve">The open-ended responses revealed mixed opinions; however, most students expressed positive views about the Instagram activities, highlighting how they provided opportunities to connect with classmates on a more personal level. Some students, however, voiced privacy concerns when using social media (see Table 4).</w:t>
      </w:r>
    </w:p>
    <w:p>
      <w:pPr>
        <w:spacing w:lineRule="auto"/>
      </w:pPr>
      <w:r>
        <w:rPr/>
      </w:r>
    </w:p>
    <w:p>
      <w:pPr>
        <w:spacing w:lineRule="auto"/>
      </w:pPr>
      <w:r>
        <w:rPr>
          <w:b/>
        </w:rPr>
        <w:t xml:space="preserve">Table 4</w:t>
      </w:r>
    </w:p>
    <w:p>
      <w:pPr>
        <w:spacing w:lineRule="auto"/>
      </w:pPr>
      <w:r>
        <w:rPr/>
        <w:t xml:space="preserve">Examples of Students’ Open-Ended Responses on Instagram Activities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Attitudes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Open-Ended Responses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Positive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 believe Instagram was a good medium for social interaction as much of the class postings did not relate to the course material.”</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Neutral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“Instagram did offer a good window into people's lives, but I can't say I genuinely "know" any of my classmates better as a result of the Instagram activity...It was simply something on my weekly to-do list...”</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Negative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 am a very busy and somewhat private person, so I didn't share more than was required. I found Instagram to be a distraction from my other daily activities and that was a problem for me.”</w:t>
            </w:r>
          </w:p>
        </w:tc>
      </w:tr>
    </w:tbl>
    <w:p>
      <w:pPr>
        <w:spacing w:lineRule="auto"/>
      </w:pPr>
      <w:r>
        <w:rPr/>
      </w:r>
    </w:p>
    <w:p>
      <w:pPr>
        <w:spacing w:lineRule="auto"/>
      </w:pPr>
      <w:r>
        <w:rPr/>
      </w:r>
    </w:p>
    <w:p>
      <w:pPr>
        <w:pStyle w:val="Heading2"/>
        <w:spacing w:lineRule="auto"/>
      </w:pPr>
      <w:r>
        <w:rPr/>
        <w:t xml:space="preserve">Discussion and Conclusion</w:t>
      </w:r>
    </w:p>
    <w:p>
      <w:pPr>
        <w:spacing w:lineRule="auto"/>
      </w:pPr>
      <w:r>
        <w:rPr/>
        <w:t xml:space="preserve">This study explored the potential of informal social media activities to foster a sense of community among online learners. The findings suggest these activities can help build a sense of community in online learning environments. Most students participated by ‘liking’ others’ posts rather than ‘posting’ or ‘commenting.’ While ‘liking’ is a more passive behavior, it reflects students’ attitudes and emotions toward their peers, demonstrating social presence (Kim &amp; Yang, 2017; Shea et al., 2022). These casual and emotional interactions can foster personal connections among classmates and enhance their sense of community. However, instructors should offer social media literacy guidelines for students with privacy concerns to promote responsible and informed use. Future research on informal social media should overcome limitations such as the small sample size and short duration of this study to seek more solid and strong generalizable findings.</w:t>
      </w:r>
    </w:p>
    <w:p>
      <w:pPr>
        <w:pStyle w:val="Heading2"/>
        <w:spacing w:lineRule="auto"/>
      </w:pPr>
      <w:r>
        <w:rPr/>
        <w:t xml:space="preserve">References</w:t>
      </w:r>
    </w:p>
    <w:p>
      <w:pPr>
        <w:spacing w:lineRule="auto"/>
      </w:pPr>
      <w:r>
        <w:rPr/>
        <w:t xml:space="preserve">Akcaoglu, M., &amp; Lee, E. (2018). Using Facebook groups to support social presence in online learning. </w:t>
      </w:r>
      <w:r>
        <w:rPr/>
        <w:t xml:space="preserve">Distance Education, 39</w:t>
      </w:r>
      <w:r>
        <w:rPr/>
        <w:t xml:space="preserve">(3), 334–352. </w:t>
      </w:r>
      <w:hyperlink r:id="rId12">
        <w:r>
          <w:rPr>
            <w:rStyle w:val="Hyperlink"/>
          </w:rPr>
          <w:t xml:space="preserve">https://doi.org/10.1080/01587919.2018.1476842</w:t>
        </w:r>
      </w:hyperlink>
    </w:p>
    <w:p>
      <w:pPr>
        <w:spacing w:lineRule="auto"/>
      </w:pPr>
      <w:r>
        <w:rPr/>
        <w:t xml:space="preserve">Bowers, J., &amp; Kumar, P. (2015). Students' perceptions of teaching and social presence: A comparative analysis of face-to-face and online learning environments. </w:t>
      </w:r>
      <w:r>
        <w:rPr/>
        <w:t xml:space="preserve">International Journal of Web-Based Learning and Teaching Technologies (IJWLTT), 10</w:t>
      </w:r>
      <w:r>
        <w:rPr/>
        <w:t xml:space="preserve">(1), 27–44. </w:t>
      </w:r>
      <w:hyperlink r:id="rId13">
        <w:r>
          <w:rPr>
            <w:rStyle w:val="Hyperlink"/>
          </w:rPr>
          <w:t xml:space="preserve">https://doi.org/10.4018/ijwltt.2015010103 </w:t>
        </w:r>
      </w:hyperlink>
    </w:p>
    <w:p>
      <w:pPr>
        <w:spacing w:lineRule="auto"/>
      </w:pPr>
      <w:r>
        <w:rPr/>
        <w:t xml:space="preserve">Dawson, S. (2006). Online forum discussion interactions as an indicator of student community. </w:t>
      </w:r>
      <w:r>
        <w:rPr/>
        <w:t xml:space="preserve">Australasian Journal of Educational Technology, 22</w:t>
      </w:r>
      <w:r>
        <w:rPr/>
        <w:t xml:space="preserve">(4), 495–510. </w:t>
      </w:r>
      <w:hyperlink r:id="rId14">
        <w:r>
          <w:rPr>
            <w:rStyle w:val="Hyperlink"/>
          </w:rPr>
          <w:t xml:space="preserve">https://doi.org/10.14742/ajet.1282</w:t>
        </w:r>
      </w:hyperlink>
      <w:r>
        <w:rPr/>
        <w:t xml:space="preserve"> </w:t>
      </w:r>
    </w:p>
    <w:p>
      <w:pPr>
        <w:spacing w:lineRule="auto"/>
      </w:pPr>
      <w:r>
        <w:rPr/>
        <w:t xml:space="preserve">Dennen, V. P., Choi, H., &amp; Word, K. (2020). Social media, teenagers, and the school context: a scoping review of research in education and related fields. </w:t>
      </w:r>
      <w:r>
        <w:rPr/>
        <w:t xml:space="preserve">Educational Technology Research and Development, 68</w:t>
      </w:r>
      <w:r>
        <w:rPr/>
        <w:t xml:space="preserve">(4), 1635–1658.  </w:t>
      </w:r>
      <w:hyperlink r:id="rId15">
        <w:r>
          <w:rPr>
            <w:rStyle w:val="Hyperlink"/>
          </w:rPr>
          <w:t xml:space="preserve">https://doi.org/10.1007/s11423-020-09796-z</w:t>
        </w:r>
      </w:hyperlink>
      <w:r>
        <w:rPr/>
        <w:t xml:space="preserve">   </w:t>
      </w:r>
    </w:p>
    <w:p>
      <w:pPr>
        <w:spacing w:lineRule="auto"/>
      </w:pPr>
      <w:r>
        <w:rPr/>
        <w:t xml:space="preserve">Fernandes, T., &amp; Castro, A. (2020). Understanding drivers and outcomes of lurking vs. posting engagement behaviours in social media-based brand communities. </w:t>
      </w:r>
      <w:r>
        <w:rPr/>
        <w:t xml:space="preserve">Journal of Marketing Management, 36</w:t>
      </w:r>
      <w:r>
        <w:rPr/>
        <w:t xml:space="preserve">(7</w:t>
      </w:r>
      <w:r>
        <w:rPr/>
        <w:t xml:space="preserve">–</w:t>
      </w:r>
      <w:r>
        <w:rPr/>
        <w:t xml:space="preserve">8), 660–681. </w:t>
      </w:r>
      <w:hyperlink r:id="rId16">
        <w:r>
          <w:rPr>
            <w:rStyle w:val="Hyperlink"/>
          </w:rPr>
          <w:t xml:space="preserve">https://doi.org/10.1080/0267257X.2020.1724179</w:t>
        </w:r>
      </w:hyperlink>
    </w:p>
    <w:p>
      <w:pPr>
        <w:spacing w:lineRule="auto"/>
      </w:pPr>
      <w:r>
        <w:rPr/>
        <w:t xml:space="preserve">Gray, J. A., &amp; DiLoreto, M. (2016). The effects of student engagement, student satisfaction, and perceived learning in online learning environments. </w:t>
      </w:r>
      <w:r>
        <w:rPr/>
        <w:t xml:space="preserve">International Journal of Educational Leadership Preparation, 11</w:t>
      </w:r>
      <w:r>
        <w:rPr/>
        <w:t xml:space="preserve">(1).  </w:t>
      </w:r>
      <w:hyperlink r:id="rId17">
        <w:r>
          <w:rPr>
            <w:rStyle w:val="Hyperlink"/>
          </w:rPr>
          <w:t xml:space="preserve">https://files.eric.ed.gov/fulltext/EJ1103654.pdf</w:t>
        </w:r>
      </w:hyperlink>
      <w:r>
        <w:rPr/>
        <w:t xml:space="preserve"> </w:t>
      </w:r>
    </w:p>
    <w:p>
      <w:pPr>
        <w:spacing w:lineRule="auto"/>
      </w:pPr>
      <w:r>
        <w:rPr/>
        <w:t xml:space="preserve">Guy, R. (2012). The use of social media for academic practice: A review of literature. </w:t>
      </w:r>
      <w:r>
        <w:rPr/>
        <w:t xml:space="preserve">Kentucky Journal of Higher Education Policy and Practice, 1</w:t>
      </w:r>
      <w:r>
        <w:rPr/>
        <w:t xml:space="preserve">(2). </w:t>
      </w:r>
      <w:hyperlink r:id="rId18">
        <w:r>
          <w:rPr>
            <w:rStyle w:val="Hyperlink"/>
          </w:rPr>
          <w:t xml:space="preserve">https://uknowledge.uky.edu/kjhepp/vol1/iss2/7</w:t>
        </w:r>
      </w:hyperlink>
      <w:r>
        <w:rPr/>
        <w:t xml:space="preserve"> </w:t>
      </w:r>
    </w:p>
    <w:p>
      <w:pPr>
        <w:spacing w:lineRule="auto"/>
      </w:pPr>
      <w:r>
        <w:rPr/>
        <w:t xml:space="preserve">Kim, C., &amp; Yang, S. U. (2017). Like, comment, and share on Facebook: How each behavior differs from the other. </w:t>
      </w:r>
      <w:r>
        <w:rPr/>
        <w:t xml:space="preserve">Public Relations Review, 43</w:t>
      </w:r>
      <w:r>
        <w:rPr/>
        <w:t xml:space="preserve">(2), 441–449. </w:t>
      </w:r>
      <w:hyperlink r:id="rId19">
        <w:r>
          <w:rPr>
            <w:rStyle w:val="Hyperlink"/>
          </w:rPr>
          <w:t xml:space="preserve">https://doi.org/10.1016/j.pubrev.2017.02.006</w:t>
        </w:r>
      </w:hyperlink>
      <w:r>
        <w:rPr/>
        <w:t xml:space="preserve"> </w:t>
      </w:r>
    </w:p>
    <w:p>
      <w:pPr>
        <w:spacing w:lineRule="auto"/>
      </w:pPr>
      <w:r>
        <w:rPr/>
        <w:t xml:space="preserve">Lear, J. L., Ansorge, C., &amp; Steckelberg, A. (2010). Interactivity/community process model for the online education environment. </w:t>
      </w:r>
      <w:r>
        <w:rPr/>
        <w:t xml:space="preserve">Journal of Online Learning and Teaching, 6</w:t>
      </w:r>
      <w:r>
        <w:rPr/>
        <w:t xml:space="preserve">(1), 71</w:t>
      </w:r>
      <w:r>
        <w:rPr/>
        <w:t xml:space="preserve">–</w:t>
      </w:r>
      <w:r>
        <w:rPr/>
        <w:t xml:space="preserve">77.  </w:t>
      </w:r>
      <w:hyperlink r:id="rId20">
        <w:r>
          <w:rPr>
            <w:rStyle w:val="Hyperlink"/>
          </w:rPr>
          <w:t xml:space="preserve">https://jolt.merlot.org/vol6no1/lear_0310.htm</w:t>
        </w:r>
      </w:hyperlink>
      <w:r>
        <w:rPr/>
        <w:t xml:space="preserve"> </w:t>
      </w:r>
    </w:p>
    <w:p>
      <w:pPr>
        <w:spacing w:lineRule="auto"/>
      </w:pPr>
      <w:r>
        <w:rPr/>
        <w:t xml:space="preserve">Oliphant, T., &amp; Branch-Mueller, J. (2016). Developing a sense of community and the online student experience. </w:t>
      </w:r>
      <w:r>
        <w:rPr/>
        <w:t xml:space="preserve">Education for Information, 32</w:t>
      </w:r>
      <w:r>
        <w:rPr/>
        <w:t xml:space="preserve">(4), 307–321. </w:t>
      </w:r>
      <w:hyperlink r:id="rId21">
        <w:r>
          <w:rPr>
            <w:rStyle w:val="Hyperlink"/>
          </w:rPr>
          <w:t xml:space="preserve">https://doi.org/10.3233/EFI-160979</w:t>
        </w:r>
      </w:hyperlink>
    </w:p>
    <w:p>
      <w:pPr>
        <w:spacing w:lineRule="auto"/>
      </w:pPr>
      <w:r>
        <w:rPr/>
        <w:t xml:space="preserve">Rovai, A. P. (2002a). Building sense of community at a distance. </w:t>
      </w:r>
      <w:r>
        <w:rPr/>
        <w:t xml:space="preserve">The International Review of Research in Open and Distributed Learning, 3</w:t>
      </w:r>
      <w:r>
        <w:rPr/>
        <w:t xml:space="preserve">(1), 1–16.  </w:t>
      </w:r>
      <w:hyperlink r:id="rId22">
        <w:r>
          <w:rPr>
            <w:rStyle w:val="Hyperlink"/>
          </w:rPr>
          <w:t xml:space="preserve">https://doi.org/10.19173/irrodl.v3i1.79</w:t>
        </w:r>
      </w:hyperlink>
      <w:r>
        <w:rPr/>
        <w:t xml:space="preserve"> </w:t>
      </w:r>
    </w:p>
    <w:p>
      <w:pPr>
        <w:spacing w:lineRule="auto"/>
      </w:pPr>
      <w:r>
        <w:rPr/>
        <w:t xml:space="preserve">Rovai, A. P. (2002b). Development of an instrument to measure classroom community. </w:t>
      </w:r>
      <w:r>
        <w:rPr/>
        <w:t xml:space="preserve">The Internet and Higher Education, 5</w:t>
      </w:r>
      <w:r>
        <w:rPr/>
        <w:t xml:space="preserve">(3), 197–211. </w:t>
      </w:r>
      <w:hyperlink r:id="rId23">
        <w:r>
          <w:rPr>
            <w:rStyle w:val="Hyperlink"/>
          </w:rPr>
          <w:t xml:space="preserve">https://doi.org/10.1016/S1096-7516(02)00102-1</w:t>
        </w:r>
      </w:hyperlink>
      <w:r>
        <w:rPr/>
        <w:t xml:space="preserve"> </w:t>
      </w:r>
    </w:p>
    <w:p>
      <w:pPr>
        <w:spacing w:lineRule="auto"/>
      </w:pPr>
      <w:r>
        <w:rPr/>
        <w:t xml:space="preserve">Sánchez, R. A., Cortijo, V., &amp; Javed, U. (2014). Students’ perceptions of Facebook for academic purposes. </w:t>
      </w:r>
      <w:r>
        <w:rPr/>
        <w:t xml:space="preserve">Computers &amp; Education, 70</w:t>
      </w:r>
      <w:r>
        <w:rPr/>
        <w:t xml:space="preserve">, 138–149. </w:t>
      </w:r>
      <w:hyperlink r:id="rId24">
        <w:r>
          <w:rPr>
            <w:rStyle w:val="Hyperlink"/>
          </w:rPr>
          <w:t xml:space="preserve">https://doi.org/10.1016/j.compedu.2013.08.012</w:t>
        </w:r>
      </w:hyperlink>
    </w:p>
    <w:p>
      <w:pPr>
        <w:spacing w:lineRule="auto"/>
      </w:pPr>
      <w:r>
        <w:rPr/>
        <w:t xml:space="preserve">Shea, P., Richardson, J., &amp; Swan, K. (2022). Building bridges to advance the community of inquiry framework for online learning. </w:t>
      </w:r>
      <w:r>
        <w:rPr/>
        <w:t xml:space="preserve">Educational Psychologist, 57</w:t>
      </w:r>
      <w:r>
        <w:rPr/>
        <w:t xml:space="preserve">(3), 148–161. </w:t>
      </w:r>
      <w:hyperlink r:id="rId25">
        <w:r>
          <w:rPr>
            <w:rStyle w:val="Hyperlink"/>
          </w:rPr>
          <w:t xml:space="preserve">https://doi.org/10.1080/00461520.2022.2089989</w:t>
        </w:r>
      </w:hyperlink>
      <w:r>
        <w:rPr/>
        <w:t xml:space="preserve"> </w:t>
      </w:r>
    </w:p>
    <w:p>
      <w:pPr>
        <w:spacing w:lineRule="auto"/>
      </w:pPr>
      <w:r>
        <w:rPr/>
      </w:r>
    </w:p>
    <w:p>
      <w:pPr>
        <w:spacing w:lineRule="auto"/>
      </w:pPr>
      <w:r>
        <w:rPr/>
      </w:r>
    </w:p>
    <w:p>
      <w:pPr>
        <w:spacing w:lineRule="auto"/>
      </w:pPr>
      <w:r>
        <w:rPr/>
        <w:t xml:space="preserve">Read this online at </w:t>
      </w:r>
      <w:hyperlink r:id="rId26">
        <w:r>
          <w:rPr>
            <w:rStyle w:val="Hyperlink"/>
          </w:rPr>
          <w:t xml:space="preserve">https://edtechbooks.org/jaid_14_2/mabvmacsfz</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A66BR-yC31WVvQIgG9WP5.png" TargetMode="Internal"/>
  <Relationship Id="rId7" Type="http://schemas.openxmlformats.org/officeDocument/2006/relationships/image" Target="media/image-d3_r4e0lhCBCWo7KMRY7J.png" TargetMode="Internal"/>
  <Relationship Id="rId8" Type="http://schemas.openxmlformats.org/officeDocument/2006/relationships/image" Target="media/image-Tt_HddnxGwiYk619xGu3t.png" TargetMode="Internal"/>
  <Relationship Id="rId9" Type="http://schemas.openxmlformats.org/officeDocument/2006/relationships/image" Target="media/image-SoAtSBsmT9LLYS2mwEhEU.png" TargetMode="Internal"/>
  <Relationship Id="rId10" Type="http://schemas.openxmlformats.org/officeDocument/2006/relationships/image" Target="media/image-M9INHHl8EEPXkFDNpsrSN.png" TargetMode="Internal"/>
  <Relationship Id="rId11" Type="http://schemas.openxmlformats.org/officeDocument/2006/relationships/image" Target="media/image-jTsFq-yks-WbK6gIMAm3J.png" TargetMode="Internal"/>
  <Relationship Id="rId12" Type="http://schemas.openxmlformats.org/officeDocument/2006/relationships/hyperlink" Target="https://www.google.com/url?q=https://doi.org/10.1080/01587919.2018.1476842&amp;amp;sa=D&amp;amp;source=editors&amp;amp;ust=1742837342289070&amp;amp;usg=AOvVaw18ky18-1p9greUj6CAQo5_" TargetMode="External"/>
  <Relationship Id="rId13" Type="http://schemas.openxmlformats.org/officeDocument/2006/relationships/hyperlink" Target="https://www.google.com/url?q=https://doi.org/10.4018/ijwltt.2015010103%2520%2520&amp;amp;sa=D&amp;amp;source=editors&amp;amp;ust=1742837342289601&amp;amp;usg=AOvVaw0fAlwUNZZd6aGHlpX6FvGX" TargetMode="External"/>
  <Relationship Id="rId14" Type="http://schemas.openxmlformats.org/officeDocument/2006/relationships/hyperlink" Target="https://www.google.com/url?q=https://doi.org/10.14742/ajet.1282&amp;amp;sa=D&amp;amp;source=editors&amp;amp;ust=1742837342289990&amp;amp;usg=AOvVaw100yuXVSH9tzKd7zBbT1Aa" TargetMode="External"/>
  <Relationship Id="rId15" Type="http://schemas.openxmlformats.org/officeDocument/2006/relationships/hyperlink" Target="https://www.google.com/url?q=https://doi.org/10.1007/s11423-020-09796-z&amp;amp;sa=D&amp;amp;source=editors&amp;amp;ust=1742837342290449&amp;amp;usg=AOvVaw1391aTBhxTcSbCIEtj8c2w" TargetMode="External"/>
  <Relationship Id="rId16" Type="http://schemas.openxmlformats.org/officeDocument/2006/relationships/hyperlink" Target="https://www.google.com/url?q=https://doi.org/10.1080/0267257X.2020.1724179&amp;amp;sa=D&amp;amp;source=editors&amp;amp;ust=1742837342290927&amp;amp;usg=AOvVaw1JrpB28qW6UY6RYwc766_3" TargetMode="External"/>
  <Relationship Id="rId17" Type="http://schemas.openxmlformats.org/officeDocument/2006/relationships/hyperlink" Target="https://www.google.com/url?q=https://files.eric.ed.gov/fulltext/EJ1103654.pdf&amp;amp;sa=D&amp;amp;source=editors&amp;amp;ust=1742837342291322&amp;amp;usg=AOvVaw2pnEH-yUfKoZOtgRDPvpoi" TargetMode="External"/>
  <Relationship Id="rId18" Type="http://schemas.openxmlformats.org/officeDocument/2006/relationships/hyperlink" Target="https://www.google.com/url?q=https://uknowledge.uky.edu/kjhepp/vol1/iss2/7&amp;amp;sa=D&amp;amp;source=editors&amp;amp;ust=1742837342291728&amp;amp;usg=AOvVaw3Iin_hcQKbYjWwZsCssEYW" TargetMode="External"/>
  <Relationship Id="rId19" Type="http://schemas.openxmlformats.org/officeDocument/2006/relationships/hyperlink" Target="https://www.google.com/url?q=https://doi.org/10.1016/j.pubrev.2017.02.006&amp;amp;sa=D&amp;amp;source=editors&amp;amp;ust=1742837342292016&amp;amp;usg=AOvVaw1j5dwImypvQrqyLHTkY4IK" TargetMode="External"/>
  <Relationship Id="rId20" Type="http://schemas.openxmlformats.org/officeDocument/2006/relationships/hyperlink" Target="https://www.google.com/url?q=https://jolt.merlot.org/vol6no1/lear_0310.htm&amp;amp;sa=D&amp;amp;source=editors&amp;amp;ust=1742837342292497&amp;amp;usg=AOvVaw2cRizgdVk0dTsK_4FPCrpq" TargetMode="External"/>
  <Relationship Id="rId21" Type="http://schemas.openxmlformats.org/officeDocument/2006/relationships/hyperlink" Target="https://www.google.com/url?q=https://doi.org/10.3233/EFI-160979&amp;amp;sa=D&amp;amp;source=editors&amp;amp;ust=1742837342292849&amp;amp;usg=AOvVaw0H-QfwaKZF_BXGAEW9WnZI" TargetMode="External"/>
  <Relationship Id="rId22" Type="http://schemas.openxmlformats.org/officeDocument/2006/relationships/hyperlink" Target="https://www.google.com/url?q=https://doi.org/10.19173/irrodl.v3i1.79&amp;amp;sa=D&amp;amp;source=editors&amp;amp;ust=1742837342293224&amp;amp;usg=AOvVaw0PGIxxRAT5Nk8yIw3ygA8N" TargetMode="External"/>
  <Relationship Id="rId23" Type="http://schemas.openxmlformats.org/officeDocument/2006/relationships/hyperlink" Target="https://www.google.com/url?q=https://doi.org/10.1016/S1096-7516(02)00102-1&amp;amp;sa=D&amp;amp;source=editors&amp;amp;ust=1742837342293534&amp;amp;usg=AOvVaw17x17pclFTIhd153RjDCxa" TargetMode="External"/>
  <Relationship Id="rId24" Type="http://schemas.openxmlformats.org/officeDocument/2006/relationships/hyperlink" Target="https://www.google.com/url?q=https://doi.org/10.1016/j.compedu.2013.08.012&amp;amp;sa=D&amp;amp;source=editors&amp;amp;ust=1742837342293819&amp;amp;usg=AOvVaw0jfYvD3gsNg1i8VbJZZwSx" TargetMode="External"/>
  <Relationship Id="rId25" Type="http://schemas.openxmlformats.org/officeDocument/2006/relationships/hyperlink" Target="https://www.google.com/url?q=https://doi.org/10.1080/00461520.2022.2089989&amp;amp;sa=D&amp;amp;source=editors&amp;amp;ust=1742837342294114&amp;amp;usg=AOvVaw3K61wb_1QS5baDrdqjGyX8" TargetMode="External"/>
  <Relationship Id="rId26" Type="http://schemas.openxmlformats.org/officeDocument/2006/relationships/hyperlink" Target="https://edtechbooks.org/jaid_14_2/mabvmacsfz" TargetMode="External"/>
  <Relationship Id="rId27"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2025-12-16T01:14:16.395Z</dcterms:created>
  <dcterms:modified xsi:type="dcterms:W3CDTF">2025-12-16T01:14:16.395Z</dcterms:modified>
</cp:coreProperties>
</file>