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AI-Supported Forum Autograder: A Community of Inquiry Approach</w:t>
      </w:r>
    </w:p>
    <w:p>
      <w:pPr>
        <w:spacing w:lineRule="auto"/>
      </w:pPr>
      <w:r>
        <w:rPr/>
        <w:t xml:space="preserve">Kadi, L.</w:t>
      </w:r>
    </w:p>
    <w:p>
      <w:pPr>
        <w:spacing w:lineRule="auto"/>
      </w:pPr>
      <w:r>
        <w:rPr/>
        <w:t xml:space="preserve">Overview of Research on Community of Inquiry</w:t>
      </w:r>
    </w:p>
    <w:p>
      <w:pPr>
        <w:pStyle w:val="Heading3"/>
        <w:spacing w:lineRule="auto"/>
      </w:pPr>
      <w:r>
        <w:rPr/>
        <w:t xml:space="preserve"> Community of Inquiry as a Theoretically and Empirically Grounded Framework </w:t>
      </w:r>
    </w:p>
    <w:p>
      <w:pPr>
        <w:spacing w:lineRule="auto"/>
      </w:pPr>
      <w:r>
        <w:rPr/>
        <w:t xml:space="preserve"> Asynchronous discussion forums are widely used in online and blended higher education to support reflection, dialogue, and collaborative knowledge construction (Meyer, 2003; Fehrman &amp; Watson, 2021). However, the pedagogical value of such forums does not depend solely on how much participants post, but on the quality of discourse and the extent to which interaction supports higher-order thinking (Darabi et al., 2011; Bunsu et al., 2025). The Community of Inquiry (CoI) framework provides a well-established theoretical and empirical foundation for analyzing and supporting such quality in computer-mediated learning environments. </w:t>
      </w:r>
    </w:p>
    <w:p>
      <w:pPr>
        <w:spacing w:lineRule="auto"/>
      </w:pPr>
      <w:r>
        <w:rPr/>
        <w:t xml:space="preserve"> Originally articulated by Garrison, Anderson, and Archer (1999), the CoI framework conceptualizes meaningful online learning as the intersection of cognitive presence, social presence, and teaching presence. Developed through qualitative analysis of text-based computer conferencing in higher education, the framework demonstrates that deep and sustained inquiry can be achieved in asynchronous environments when these presences are intentionally designed for and supported. </w:t>
      </w:r>
    </w:p>
    <w:p>
      <w:pPr>
        <w:spacing w:lineRule="auto"/>
      </w:pPr>
      <w:r>
        <w:rPr/>
        <w:t xml:space="preserve"> Crucially for assessment design, CoI is not merely descriptive. It provides operationalizable constructs that have been repeatedly applied, tested, and refined across disciplines, institutions, and national contexts. This makes it particularly well-suited as the conceptual backbone for an AI-supported forum autograder that aims to evaluate discussion quality in pedagogically meaningful ways rather than relying on surface-level metrics (Nadeesha, 2025). </w:t>
      </w:r>
    </w:p>
    <w:p>
      <w:pPr>
        <w:pStyle w:val="Heading3"/>
        <w:spacing w:lineRule="auto"/>
      </w:pPr>
      <w:r>
        <w:rPr/>
        <w:t xml:space="preserve"> Cognitive Presence and the Practical Inquiry Model </w:t>
      </w:r>
    </w:p>
    <w:p>
      <w:pPr>
        <w:spacing w:lineRule="auto"/>
      </w:pPr>
      <w:r>
        <w:rPr/>
        <w:t xml:space="preserve"> Within the CoI framework, cognitive presence refers to the extent to which learners are able to construct and confirm meaning through sustained reflection and discourse. Garrison et al. operationalize cognitive presence through the Practical Inquiry model, which identifies four observable phases of inquiry: triggering event, exploration, integration, and resolution (Garrison et al., 1999). </w:t>
      </w:r>
    </w:p>
    <w:p>
      <w:pPr>
        <w:spacing w:lineRule="auto"/>
      </w:pPr>
      <w:r>
        <w:rPr/>
        <w:t xml:space="preserve"> Subsequent studies have shown that these phases can be reliably identified in discussion transcripts and are associated with higher levels of critical thinking and perceived learning (Garrison et al., 2011). </w:t>
      </w:r>
    </w:p>
    <w:p>
      <w:pPr>
        <w:spacing w:lineRule="auto"/>
      </w:pPr>
      <w:r>
        <w:rPr/>
        <w:t xml:space="preserve"> For an AI-supported forum autograder, the Practical Inquiry model provides a validated structure for distinguishing between qualitatively different forms of engagement. Rather than treating all contributions as equivalent, an AI system grounded in this model can approximate whether a post primarily introduces a problem, explores ideas, synthesizes perspectives, or proposes resolutions. This aligns automated assessment with established research on learning depth, while avoiding reductive proxies such as post length or frequency. </w:t>
      </w:r>
    </w:p>
    <w:p>
      <w:pPr>
        <w:pStyle w:val="Heading3"/>
        <w:spacing w:lineRule="auto"/>
      </w:pPr>
      <w:r>
        <w:rPr/>
        <w:t xml:space="preserve"> Teaching Presence as a Design and Assessment Construct </w:t>
      </w:r>
    </w:p>
    <w:p>
      <w:pPr>
        <w:spacing w:lineRule="auto"/>
      </w:pPr>
      <w:r>
        <w:rPr/>
        <w:t xml:space="preserve"> Teaching presence is defined as the design, facilitation, and direction of cognitive and social processes to realize meaningful learning outcomes (Anderson et al., 2001). Importantly, Anderson and colleagues move beyond abstract definition by providing explicit indicators for identifying teaching presence in computer-mediated discussions, making it assessable through transcript analysis. </w:t>
      </w:r>
    </w:p>
    <w:p>
      <w:pPr>
        <w:spacing w:lineRule="auto"/>
      </w:pPr>
      <w:r>
        <w:rPr/>
        <w:t xml:space="preserve"> The authors identify three interrelated components of teaching presence: </w:t>
      </w:r>
    </w:p>
    <w:p>
      <w:pPr>
        <w:numPr>
          <w:ilvl w:val="0"/>
          <w:numId w:val="1"/>
        </w:numPr>
        <w:spacing w:lineRule="auto"/>
      </w:pPr>
      <w:r>
        <w:rPr/>
        <w:t xml:space="preserve"> Design and organization (e.g. setting goals, establishing guidelines), </w:t>
      </w:r>
    </w:p>
    <w:p>
      <w:pPr>
        <w:numPr>
          <w:ilvl w:val="0"/>
          <w:numId w:val="1"/>
        </w:numPr>
        <w:spacing w:lineRule="auto"/>
      </w:pPr>
      <w:r>
        <w:rPr/>
        <w:t xml:space="preserve"> Facilitating discourse (e.g. encouraging participation, prompting deeper exploration), and </w:t>
      </w:r>
    </w:p>
    <w:p>
      <w:pPr>
        <w:numPr>
          <w:ilvl w:val="0"/>
          <w:numId w:val="1"/>
        </w:numPr>
        <w:spacing w:lineRule="auto"/>
      </w:pPr>
      <w:r>
        <w:rPr/>
        <w:t xml:space="preserve"> Direct instruction (e.g. summarizing discussion, diagnosing misconceptions, referencing authoritative sources). </w:t>
      </w:r>
    </w:p>
    <w:p>
      <w:pPr>
        <w:spacing w:lineRule="auto"/>
      </w:pPr>
      <w:r>
        <w:rPr/>
        <w:t xml:space="preserve"> These indicators have been widely reused in CoI research and demonstrate acceptable reliability when applied by trained coders. For AI-supported assessment, they provide a direct template for rubric construction and feedback logic. An autograder informed by teaching-presence indicators can not only assign scores aligned with instructional intent, but also generate formative feedback or suggest intervention prompts that support facilitation rather than replacing it. This positions AI as an augmentation of teaching presence, consistent with its original conceptualization. </w:t>
      </w:r>
    </w:p>
    <w:p>
      <w:pPr>
        <w:pStyle w:val="Heading3"/>
        <w:spacing w:lineRule="auto"/>
      </w:pPr>
      <w:r>
        <w:rPr/>
        <w:t xml:space="preserve"> Social Presence and Interaction Quality in Online Discussions </w:t>
      </w:r>
    </w:p>
    <w:p>
      <w:pPr>
        <w:spacing w:lineRule="auto"/>
      </w:pPr>
      <w:r>
        <w:rPr/>
        <w:t xml:space="preserve"> Social presence captures learners' capacity to represent themselves emotionally and socially in online settings, fostering trust, interaction, and ongoing engagement. Rourke et al.'s foundational work (2001) pinpointed three central elements in asynchronous discussions, affective expression, open communication, and group cohesion, validated through a coding scheme with demonstrated interrater reliability. </w:t>
      </w:r>
    </w:p>
    <w:p>
      <w:pPr>
        <w:spacing w:lineRule="auto"/>
      </w:pPr>
      <w:r>
        <w:rPr/>
        <w:t xml:space="preserve"> Building on this work, Swan and Shih (2005) demonstrate that social presence develops over time and is positively associated with students’ perceived learning and satisfaction in online courses. </w:t>
      </w:r>
    </w:p>
    <w:p>
      <w:pPr>
        <w:spacing w:lineRule="auto"/>
      </w:pPr>
      <w:r>
        <w:rPr/>
        <w:t xml:space="preserve"> These findings establish social presence as a critical mediator of learning rather than a peripheral or “soft” outcome. For an AI-supported forum autograder, social-presence indicators enable the system to identify interactional patterns, such as acknowledgement of peers, inclusive language, or synthesis of viewpoints, that are known to support deeper cognitive engagement. Feedback generated on this basis can therefore encourage participation practices aligned with evidence-based online pedagogy. </w:t>
      </w:r>
    </w:p>
    <w:p>
      <w:pPr>
        <w:spacing w:lineRule="auto"/>
      </w:pPr>
      <w:r>
        <w:rPr/>
        <w:t xml:space="preserve"> Across CoI research, methodological rigour and validity have been central concerns, supported by established approaches to content analysis and validated survey instruments (Rourke &amp; Anderson, 2004; Arbaugh et al., 2008). </w:t>
      </w:r>
    </w:p>
    <w:p>
      <w:pPr>
        <w:pStyle w:val="Heading2"/>
        <w:spacing w:lineRule="auto"/>
      </w:pPr>
      <w:r>
        <w:rPr/>
        <w:t xml:space="preserve"> Instruction Design Theory </w:t>
      </w:r>
    </w:p>
    <w:p>
      <w:pPr>
        <w:pStyle w:val="Heading3"/>
        <w:spacing w:lineRule="auto"/>
      </w:pPr>
      <w:r>
        <w:rPr/>
        <w:t xml:space="preserve"> From Evidence to Design Decisions in Online Discourse Assessment </w:t>
      </w:r>
    </w:p>
    <w:p>
      <w:pPr>
        <w:spacing w:lineRule="auto"/>
      </w:pPr>
      <w:r>
        <w:rPr/>
        <w:t xml:space="preserve"> Instructional design theory provides a critical bridge between research on learning (including frameworks such as the Community of Inquiry) and the practical work of designing assessment and feedback that foster learner engagement and metacognition. A central principle across contemporary instructional design is alignment: making intended learning outcomes explicit, designing learning activities that elicit those outcomes, and ensuring that assessment captures what is educationally significant rather than merely what is convenient to score. Backward design, as articulated in Understanding by Design, conceptualizes this as an outcomes-first process that begins with “desired results” and evidence of learning before planning instructional experiences (Wiggins &amp; McTighe, 2005, 2012 ). Constructive alignment likewise contends that assessment should be directly aligned with intended learning outcomes and teaching–learning activities, so that students are rewarded for the forms of learning the course purports to value (Biggs, 1996). These alignment traditions are especially salient for AI‑supported assessment, because automation can easily amplify misalignment, efficiently measuring superficial indicators unless higher‑order cognitive and metacognitive goals are deliberately encoded into the assessment design. </w:t>
      </w:r>
    </w:p>
    <w:p>
      <w:pPr>
        <w:pStyle w:val="Heading3"/>
        <w:spacing w:lineRule="auto"/>
      </w:pPr>
      <w:r>
        <w:rPr/>
        <w:t xml:space="preserve"> CoI as an Instructional Design Framework </w:t>
      </w:r>
    </w:p>
    <w:p>
      <w:pPr>
        <w:spacing w:lineRule="auto"/>
      </w:pPr>
      <w:r>
        <w:rPr/>
        <w:t xml:space="preserve"> A common critique of theory-to-practice work is that frameworks can remain descriptive unless they are translated into actionable design guidance. CoI research has increasingly emphasized this shift—from using CoI to describe discussion quality to using it to design for cognitive, social, and teaching presence. A widely cited CoI review highlights the need to advance beyond description toward design-relevant decisions that connect presences to learning outcomes and course features (Garrison &amp; Arbaugh, 2007). Building on that direction, Building on this direction, Fiock (2020), in Designing a Community of Inquiry in Online Courses </w:t>
      </w:r>
      <w:r>
        <w:rPr>
          <w:vertAlign w:val="superscript"/>
        </w:rPr>
        <w:t xml:space="preserve"> [a] </w:t>
      </w:r>
      <w:r>
        <w:rPr>
          <w:vertAlign w:val="superscript"/>
        </w:rPr>
        <w:t xml:space="preserve"> [b] </w:t>
      </w:r>
      <w:r>
        <w:rPr/>
        <w:t xml:space="preserve"> , explicitly positions CoI as an instructional design guide by translating the three presences into actionable design decisions through a structured design document. Recognizing that CoI does not itself provide step-by-step instructional guidance, Fiock (2020) integrates Sorensen and Baylen’s (2009) seven principles of good practice with the CoI framework to prompt instructors to specify concrete instructional activities, for example, identifying which discussion tasks are intended to support exploration or integration (cognitive presence), which facilitation strategies foster interaction and community (social presence), and how instructional guidance and assessment practices enact teaching presence. This design-oriented CoI literature supports an instruction design </w:t>
      </w:r>
      <w:r>
        <w:rPr>
          <w:vertAlign w:val="superscript"/>
        </w:rPr>
        <w:t xml:space="preserve"> [c] </w:t>
      </w:r>
      <w:r>
        <w:rPr/>
        <w:t xml:space="preserve"> stance in which discussion assessment is not an add-on, but part of how teaching presence is enacted through course structure, facilitation moves, and feedback cycles. </w:t>
      </w:r>
    </w:p>
    <w:p>
      <w:pPr>
        <w:pStyle w:val="Heading3"/>
        <w:spacing w:lineRule="auto"/>
      </w:pPr>
      <w:r>
        <w:rPr/>
        <w:t xml:space="preserve"> Iterative Design traditions: Design-based Research and Co-design </w:t>
      </w:r>
    </w:p>
    <w:p>
      <w:pPr>
        <w:spacing w:lineRule="auto"/>
      </w:pPr>
      <w:r>
        <w:rPr/>
        <w:t xml:space="preserve"> Where assessment design intersects with real teaching practice, instructional design theory increasingly favors iterative, evidence-informed refinement rather than one-off development. Design-based research (DBR) traditions focus on improving interventions through cycles of enactment, analysis, and redesign, producing both a working solution and transferable design principles. Recent CoI-related work on shared metacognition underscores iterative development and refinement of online collaborative learning designs and highlights practical implementation considerations (Garrison, 2022). </w:t>
      </w:r>
    </w:p>
    <w:p>
      <w:pPr>
        <w:spacing w:lineRule="auto"/>
      </w:pPr>
      <w:r>
        <w:rPr/>
        <w:t xml:space="preserve"> A closely related tradition, design-based implementation research (DBIR), emphasizes sustained partnership with practitioners, attention to local contexts, and continuous improvement informed by implementation data, especially important when an intervention (like AI-supported assessment) will be used across different courses and instructors (Fishman et al., 2013). </w:t>
      </w:r>
    </w:p>
    <w:p>
      <w:pPr>
        <w:spacing w:lineRule="auto"/>
      </w:pPr>
      <w:r>
        <w:rPr/>
        <w:t xml:space="preserve"> In parallel, participatory co-design approaches in higher education assessment increasingly examine feasibility and acceptability alongside integrity and learning value. For example, a recent UK-based study of AI-integrated coursework assessment used iterative co-design with staff and students, then evaluated feasibility, acceptability, and perceived integrity—an approach that aligns well with designing AI-supported assessment as a socio-technical practice rather than a purely technical product (Martin et al., 2025). </w:t>
      </w:r>
    </w:p>
    <w:p>
      <w:pPr>
        <w:pStyle w:val="Heading3"/>
        <w:spacing w:lineRule="auto"/>
      </w:pPr>
      <w:r>
        <w:rPr/>
        <w:t xml:space="preserve"> Design Thinking: Human-centered Assessment Experiences and Stakeholder Value </w:t>
      </w:r>
    </w:p>
    <w:p>
      <w:pPr>
        <w:spacing w:lineRule="auto"/>
      </w:pPr>
      <w:r>
        <w:rPr/>
        <w:t xml:space="preserve"> Design thinking adds a complementary lens to instructional design by foregrounding empathy, iteration, and the lived experience of the people using an intervention. In education, the IDEO Design Thinking for Educators Toolkit (n.d.) </w:t>
      </w:r>
      <w:r>
        <w:rPr>
          <w:vertAlign w:val="superscript"/>
        </w:rPr>
        <w:t xml:space="preserve"> [d] </w:t>
      </w:r>
      <w:r>
        <w:rPr/>
        <w:t xml:space="preserve"> frames a human-centered cycle (discovery, interpretation, ideation, experimentation, evolution) that supports rapid prototyping and refinement based on real user needs and constraints. </w:t>
      </w:r>
    </w:p>
    <w:p>
      <w:pPr>
        <w:spacing w:lineRule="auto"/>
      </w:pPr>
      <w:r>
        <w:rPr/>
        <w:t xml:space="preserve"> In AI-supported assessment, a design-thinking lens helps keep the focus on questions such as: </w:t>
      </w:r>
    </w:p>
    <w:p>
      <w:pPr>
        <w:numPr>
          <w:ilvl w:val="0"/>
          <w:numId w:val="2"/>
        </w:numPr>
        <w:spacing w:lineRule="auto"/>
      </w:pPr>
      <w:r>
        <w:rPr/>
        <w:t xml:space="preserve"> What feedback do learners experience as usable and motivating? </w:t>
      </w:r>
    </w:p>
    <w:p>
      <w:pPr>
        <w:numPr>
          <w:ilvl w:val="0"/>
          <w:numId w:val="2"/>
        </w:numPr>
        <w:spacing w:lineRule="auto"/>
      </w:pPr>
      <w:r>
        <w:rPr/>
        <w:t xml:space="preserve"> What forms of guidance support instructor </w:t>
      </w:r>
      <w:r>
        <w:rPr>
          <w:vertAlign w:val="superscript"/>
        </w:rPr>
        <w:t xml:space="preserve"> [e] </w:t>
      </w:r>
      <w:r>
        <w:rPr/>
        <w:t xml:space="preserve"> 's judgement rather than creating extra workload? </w:t>
      </w:r>
    </w:p>
    <w:p>
      <w:pPr>
        <w:numPr>
          <w:ilvl w:val="0"/>
          <w:numId w:val="2"/>
        </w:numPr>
        <w:spacing w:lineRule="auto"/>
      </w:pPr>
      <w:r>
        <w:rPr/>
        <w:t xml:space="preserve"> Which parts of the assessment journey create confusion, anxiety, or inequity? </w:t>
      </w:r>
    </w:p>
    <w:p>
      <w:pPr>
        <w:pStyle w:val="Heading3"/>
        <w:spacing w:lineRule="auto"/>
      </w:pPr>
      <w:r>
        <w:rPr/>
        <w:t xml:space="preserve"> Accessibility, Inclusion, and UDL as Design Requirements </w:t>
      </w:r>
    </w:p>
    <w:p>
      <w:pPr>
        <w:spacing w:lineRule="auto"/>
      </w:pPr>
      <w:r>
        <w:rPr/>
        <w:t xml:space="preserve"> Instructional design in assessment must also account for learner variability, language diversity, and accessibility. The updated UDL Guidelines 3.0 emphasize designing environments that reduce barriers and support learner agency, with explicit attention to systemic exclusion and bias (CAST, 2024). UDL strengthens AI-supported assessment design by making it normal to ask: who is advantaged by this feedback style, language register, or interaction expectation, and who might be unintentionally penalized? </w:t>
      </w:r>
    </w:p>
    <w:p>
      <w:pPr>
        <w:pStyle w:val="Heading3"/>
        <w:spacing w:lineRule="auto"/>
      </w:pPr>
      <w:r>
        <w:rPr/>
        <w:t xml:space="preserve"> AI as Epistemic Infrastructure: Sustaining Professional Judgement and Learner Agency </w:t>
      </w:r>
    </w:p>
    <w:p>
      <w:pPr>
        <w:spacing w:lineRule="auto"/>
      </w:pPr>
      <w:r>
        <w:rPr/>
        <w:t xml:space="preserve"> A final instructional design lens is how AI changes the conditions of teaching and learning. Chen argues that generative AI in education should be understood as epistemic infrastructure rather than a neutral tool: when AI becomes embedded in lesson planning or feedback practices, it can reshape epistemic agency, what teachers and learners do to form, test, and validate knowledge. The concern is not simply accuracy, but “epistemic substitution”: AI may perform cognitive operations in ways that reduce opportunities for educators to exercise and develop professional judgement and epistemic sensitivity over time (Chen, 2025). </w:t>
      </w:r>
    </w:p>
    <w:p>
      <w:pPr>
        <w:spacing w:lineRule="auto"/>
      </w:pPr>
      <w:r>
        <w:rPr/>
        <w:t xml:space="preserve"> For instructional design, this framing supports an approach where AI-supported assessment is designed to preserve and strengthen human judgement, for example by foregrounding transparency, supporting reflective decision-making, and structuring feedback as guidance rather than authority.</w:t>
      </w:r>
    </w:p>
    <w:p>
      <w:pPr>
        <w:pStyle w:val="Heading2"/>
        <w:spacing w:lineRule="auto"/>
      </w:pPr>
      <w:r>
        <w:rPr/>
        <w:t xml:space="preserve"> Prompt Development Process </w:t>
      </w:r>
    </w:p>
    <w:p>
      <w:pPr>
        <w:spacing w:lineRule="auto"/>
      </w:pPr>
      <w:r>
        <w:rPr/>
        <w:t xml:space="preserve"> The prompt and supporting code were developed through an iterative, researcher-guided process. While the researcher comes from a basic science and education background rather than a software engineering background, generative AI (ChatGPT) was used as a technical co-authoring tool to translate pedagogical intent, theoretical constraints, and rubric logic into executable prompt instructions and Python code. </w:t>
      </w:r>
    </w:p>
    <w:p>
      <w:pPr>
        <w:spacing w:lineRule="auto"/>
      </w:pPr>
      <w:r>
        <w:rPr/>
        <w:t xml:space="preserve"> All conceptual decisions, including rubric interpretation, Community of Inquiry alignment, grading rules, and ethical constraints, were defined by the researcher. ChatGPT was used to assist with code syntax, structural organization, and debugging under explicit researcher prompts. Each iteration of the prompt was reviewed, tested against graded forum data, and revised by the researcher based on observed discrepancies between AI-generated and instructor-assigned scores. </w:t>
      </w:r>
    </w:p>
    <w:p>
      <w:pPr>
        <w:spacing w:lineRule="auto"/>
      </w:pPr>
      <w:r>
        <w:rPr/>
        <w:t xml:space="preserve"> The development of the AI-supported forum grading prompt followed an iterative, design-informed process grounded in the Community of Inquiry (CoI) framework (Garrison et al., 1999; Anderson et al., 2001). Initial prompt drafts focused on mapping existing instructor rubric criteria, development of ideas, critical thinking, response to others, and timeliness/mechanics, onto CoI dimensions of cognitive, social, and teaching presence. Early versions of the prompt prioritized score generation, but pilot testing revealed the need for stronger constraints around evidence citation, peer-interaction visibility, and output consistency. </w:t>
      </w:r>
    </w:p>
    <w:p>
      <w:pPr>
        <w:spacing w:lineRule="auto"/>
      </w:pPr>
      <w:r>
        <w:rPr/>
        <w:t xml:space="preserve"> Subsequent prompt iterations introduced several key refinements. First, explicit prohibitions against “invented participation” were added, requiring the model to award peer-interaction credit only when interaction was visibly present in the supplied text. Second, the output schema was fixed to ensure uniform scoring, concise feedback, and a single educator annotation per student to model teaching presence without overwhelming instructors or learners. Third, the prompt was tested against increasingly large forum datasets, leading to the adoption of a chunking strategy to manage token limits while preserving as much interactional context as possible. </w:t>
      </w:r>
    </w:p>
    <w:p>
      <w:pPr>
        <w:spacing w:lineRule="auto"/>
      </w:pPr>
      <w:r>
        <w:rPr/>
        <w:t xml:space="preserve"> Throughout this process, prompt revisions were informed by discrepancies between AI-generated grades and instructor grades, with particular attention paid to cases where disagreement revealed ambiguity in rubric interpretation or limitations in how discussion data were exported and presented. These refinements reflect a design-based approach in which the prompt evolved through cycles of testing, evaluation, and revision, rather than being treated as a static artifact. </w:t>
      </w:r>
    </w:p>
    <w:p>
      <w:pPr>
        <w:pStyle w:val="Heading2"/>
        <w:spacing w:lineRule="auto"/>
      </w:pPr>
      <w:r>
        <w:rPr/>
        <w:t xml:space="preserve"> Prompt Evaluation Process </w:t>
      </w:r>
    </w:p>
    <w:p>
      <w:pPr>
        <w:spacing w:lineRule="auto"/>
      </w:pPr>
      <w:r>
        <w:rPr/>
        <w:t xml:space="preserve"> To evaluate the reliability and effectiveness of the final prompt, it was applied to completed, instructor-graded discussion forums from a graduate-level course. The study was approved by the Institutional Review Board (IRB). All student data were de-identified prior to analysis to ensure participant confidentiality. The prompt was executed using Claude Haiku (Anthropic, Claude Haiku 4.5 model) with temperature set to zero to maximize determinism and scoring consistency. </w:t>
      </w:r>
    </w:p>
    <w:p>
      <w:pPr>
        <w:spacing w:lineRule="auto"/>
      </w:pPr>
      <w:r>
        <w:rPr/>
        <w:t xml:space="preserve"> Evaluation proceeded in two complementary phases. First, a quantitative comparison examined agreement between AI-generated grades and instructor grades at both the criterion level and the total-score level. Mean scores and standard deviations were calculated across students for each rubric criterion and for the total grade. Pearson correlation coefficients were used where score variability permitted. Second, a qualitative case-based analysis examined specific instances of agreement and disagreement between AI and instructor grading, with attention to how each rater interpreted evidence of cognitive and social presence in the discussion text. </w:t>
      </w:r>
    </w:p>
    <w:p>
      <w:pPr>
        <w:spacing w:lineRule="auto"/>
      </w:pPr>
      <w:r>
        <w:rPr/>
        <w:t xml:space="preserve"> This mixed-methods approach aligns with prior work on validity in quantitative content analysis (Rourke &amp; Anderson, 2004) and allows for a nuanced examination of both statistical agreement and pedagogical meaning. </w:t>
      </w:r>
    </w:p>
    <w:p>
      <w:pPr>
        <w:pStyle w:val="Heading2"/>
        <w:spacing w:lineRule="auto"/>
      </w:pPr>
      <w:r>
        <w:rPr/>
        <w:t xml:space="preserve"> Evaluation Outcomes </w:t>
      </w:r>
    </w:p>
    <w:p>
      <w:pPr>
        <w:pStyle w:val="Heading3"/>
        <w:spacing w:lineRule="auto"/>
      </w:pPr>
      <w:r>
        <w:rPr/>
        <w:t xml:space="preserve"> Quantitative Outcomes </w:t>
      </w:r>
    </w:p>
    <w:p>
      <w:pPr>
        <w:pStyle w:val="Heading4"/>
        <w:spacing w:lineRule="auto"/>
      </w:pPr>
      <w:r>
        <w:rPr/>
        <w:t xml:space="preserve">Alignment of Scores </w:t>
      </w:r>
    </w:p>
    <w:p>
      <w:pPr>
        <w:spacing w:lineRule="auto"/>
      </w:pPr>
      <w:r>
        <w:rPr/>
        <w:t xml:space="preserve">Overall, AI-generated grades demonstrated meaningful alignment with instructor grading across several rubric dimensions. Mean scores for Development of Ideas were identical for AI and instructor ratings, indicating strong convergence in how this criterion was interpreted and applied. Correlation analysis further supported this alignment, showing a moderate positive association between AI and instructor scores for Development of Ideas (r = .48, p &lt; .001). This finding suggests that the prompt operationalized aspects of cognitive presence related to idea development with a high degree of fidelity.</w:t>
      </w:r>
    </w:p>
    <w:p>
      <w:pPr>
        <w:spacing w:lineRule="auto"/>
      </w:pPr>
      <w:r>
        <w:rPr/>
        <w:t xml:space="preserve"> For Critical Thinking, mean scores were closely aligned, with the AI assigning slightly higher scores on average. The correlation between AI and instructor ratings was positive and statistically significant (r = .314, p = .022), indicating moderate agreement. Although weaker than for Development of Ideas, this result reflects partial alignment in evaluating higher-order cognitive processes such as analysis, synthesis, and evaluation, while also highlighting differences in how contextual judgement was applied by the instructor in selected cases. </w:t>
      </w:r>
    </w:p>
    <w:p>
      <w:pPr>
        <w:spacing w:lineRule="auto"/>
      </w:pPr>
      <w:r>
        <w:rPr/>
        <w:t xml:space="preserve"> In contrast, agreement was lower for Response to Others. While instructor mean scores were high, AI-generated scores were more variable, resulting in a weak and non-significant correlation (r = .211, p = .130). This pattern suggests that social presence indicators—particularly peer interaction—were more sensitive to differences in how participation was evidenced in the discussion transcripts and how strictly rubric conditions were operationalized by the AI. </w:t>
      </w:r>
    </w:p>
    <w:p>
      <w:pPr>
        <w:spacing w:lineRule="auto"/>
      </w:pPr>
      <w:r>
        <w:rPr/>
        <w:t xml:space="preserve"> Correlation analysis could not be conducted for Timeliness and Mechanics because instructor scores showed no variance (SD = 0). As a result, Pearson correlation was undefined for this criterion. This outcome reflects the procedural nature of the criterion and consistent instructor scoring practices rather than a limitation of the prompt or the AI grading process. </w:t>
      </w:r>
    </w:p>
    <w:p>
      <w:pPr>
        <w:spacing w:lineRule="auto"/>
      </w:pPr>
      <w:r>
        <w:rPr/>
        <w:t xml:space="preserve"> At the overall grade level, a moderate and statistically significant correlation was observed between AI-generated and instructor scores (r = .36, p = .008). Taken together, these findings indicate that the AI-supported prompt demonstrated reasonable reliability in reproducing instructor grading patterns, particularly for cognitively oriented rubric dimensions aligned with cognitive presence in the Community of Inquiry framework, while revealing areas where social interaction criteria require greater rubric specificity and prompt refinement. </w:t>
      </w:r>
    </w:p>
    <w:p>
      <w:pPr>
        <w:spacing w:lineRule="auto"/>
      </w:pPr>
      <w:r>
        <w:rPr>
          <w:b/>
        </w:rPr>
        <w:t xml:space="preserve">Table 1</w:t>
      </w:r>
    </w:p>
    <w:p>
      <w:pPr>
        <w:spacing w:lineRule="auto"/>
      </w:pPr>
      <w:r>
        <w:rPr/>
        <w:t xml:space="preserve">Alignment of Scores Between AI and Human Instructors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GRADE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Pearson Correlation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Sig. (2-tailed)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Development of Ideas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0.48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&lt;.001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Critical Thinking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0.314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0.022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Response to Others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0.211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0.13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Timeline and Mechanics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No SD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NA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Whole_Grade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0.36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0.008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 Correlation is significant at the 0.05 level (2-tailed). </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bl>
    <w:p>
      <w:pPr>
        <w:spacing w:lineRule="auto"/>
      </w:pPr>
      <w:r>
        <w:rPr/>
      </w:r>
    </w:p>
    <w:p>
      <w:pPr>
        <w:pStyle w:val="Heading3"/>
        <w:spacing w:lineRule="auto"/>
      </w:pPr>
      <w:r>
        <w:rPr/>
        <w:br w:type="textWrapping"/>
      </w:r>
    </w:p>
    <w:p>
      <w:pPr>
        <w:pStyle w:val="Heading3"/>
        <w:spacing w:lineRule="auto"/>
      </w:pPr>
      <w:r>
        <w:rPr/>
        <w:t xml:space="preserve"> AI-Supported Feedback and Instructor Intervention </w:t>
      </w:r>
    </w:p>
    <w:p>
      <w:pPr>
        <w:spacing w:lineRule="auto"/>
      </w:pPr>
      <w:r>
        <w:rPr/>
        <w:t xml:space="preserve"> Beyond score alignment, the prompt demonstrated value as a pedagogical support mechanism by systematically flagging cases requiring instructor attention. Across multiple instances, the AI identified students for whom instructor intervention was warranted, either due to weak cognitive engagement, absent peer interaction, or uneven performance across rubric dimensions. This functionality operationalizes teaching presence within the Community of Inquiry framework by making instructional oversight visible, consistent, and scalable. </w:t>
      </w:r>
    </w:p>
    <w:p>
      <w:pPr>
        <w:spacing w:lineRule="auto"/>
      </w:pPr>
      <w:r>
        <w:rPr/>
        <w:t xml:space="preserve"> The prompt not only assigned scores but also generated concise, rubric-aligned feedback and educator annotations intended to prompt further learning rather than replace instructor judgment. In cases where instructor feedback was absent, particularly in larger discussion cohorts, the AI provided structured formative commentary, highlighting strengths and posing targeted prompts for deeper reflection. These annotations can be understood as provisional teaching presence, offering learners timely guidance while signaling to instructors where human follow-up may be most impactful. </w:t>
      </w:r>
    </w:p>
    <w:p>
      <w:pPr>
        <w:spacing w:lineRule="auto"/>
      </w:pPr>
      <w:r>
        <w:rPr/>
        <w:t xml:space="preserve"> Importantly, the analysis revealed that the prompt occasionally applied stricter procedural criteria than the instructor, particularly with respect to mechanics and surface-level language issues. Whereas instructors appeared to tolerate minor or infrequent spelling and grammatical deviations, the AI treated such features more literally when applying the rubric. This finding points to a key design insight: rubric thresholds that are intuitive to human graders must be made explicit for AI systems. For example, future prompt refinements could specify tolerance bands (e.g., ignoring isolated errors while penalizing persistent patterns), thereby aligning automated scoring more closely with instructional intent. </w:t>
      </w:r>
    </w:p>
    <w:p>
      <w:pPr>
        <w:spacing w:lineRule="auto"/>
      </w:pPr>
      <w:r>
        <w:rPr/>
        <w:t xml:space="preserve"> A similar issue emerged in relation to peer interaction. Differences between AI and instructor scoring underscored the need for clearer operational definitions of what constitutes meaningful interaction. While instructors appeared to rely on contextual and holistic judgment, the AI required explicit textual evidence within the analyzed segments. This reinforces the importance of precise rubric wording and interaction criteria when deploying AI graders, particularly in discussion-based assessments where social presence is distributed across threads and replies. </w:t>
      </w:r>
    </w:p>
    <w:p>
      <w:pPr>
        <w:spacing w:lineRule="auto"/>
      </w:pPr>
      <w:r>
        <w:rPr/>
        <w:t xml:space="preserve"> Taken together, these findings suggest that the prompt functions effectively not as a replacement for instructor judgment, but as an early-warning and decision-support tool. When integrated into a learning management system, such a prompt could notify instructors or teaching assistants of students who may require follow-up, enabling more targeted, equitable, and timely interventions. In this way, AI-supported grading can extend teaching presence at scale while preserving the central role of human educators in interpretive and relational aspects of assessment. </w:t>
      </w:r>
    </w:p>
    <w:p>
      <w:pPr>
        <w:pStyle w:val="Heading3"/>
        <w:spacing w:lineRule="auto"/>
      </w:pPr>
      <w:r>
        <w:rPr/>
        <w:t xml:space="preserve"> Qualitative Outcomes </w:t>
      </w:r>
    </w:p>
    <w:p>
      <w:pPr>
        <w:pStyle w:val="Heading4"/>
        <w:spacing w:lineRule="auto"/>
      </w:pPr>
      <w:r>
        <w:rPr/>
        <w:t xml:space="preserve"> Cognitive Alignment </w:t>
      </w:r>
    </w:p>
    <w:p>
      <w:pPr>
        <w:spacing w:lineRule="auto"/>
      </w:pPr>
      <w:r>
        <w:rPr/>
        <w:t xml:space="preserve"> Across multiple cases, alignment between AI and instructor grading was strongest for cognitively oriented criteria, particularly Development of Ideas and Critical Thinking. In instances where scores diverged, the AI consistently applied rubric-specified indicators of argumentation, analysis, and evidence, even when the instructor removed credit without providing explanatory feedback. These cases suggest that the prompt operationalized aspects of cognitive presence with a high degree of consistency, while manual grading occasionally reflected tacit or holistic judgement not explicitly anchored in the rubric. </w:t>
      </w:r>
    </w:p>
    <w:p>
      <w:pPr>
        <w:pStyle w:val="Heading4"/>
        <w:spacing w:lineRule="auto"/>
      </w:pPr>
      <w:r>
        <w:rPr/>
        <w:t xml:space="preserve"> Social Presence and Interaction </w:t>
      </w:r>
    </w:p>
    <w:p>
      <w:pPr>
        <w:spacing w:lineRule="auto"/>
      </w:pPr>
      <w:r>
        <w:rPr/>
        <w:t xml:space="preserve"> Disagreements were most pronounced for the “Response to Others” criterion, reflecting both the pedagogical complexity of assessing social presence and a technical constraint introduced by the prompt design. To accommodate very large discussion forums that exceeded model context limits, the prompt intentionally segmented (chunked) discussion data into overlapping text windows. While this approach enabled scalable grading, it also meant that evidence of peer interaction could be distributed across chunks and therefore not simultaneously visible to the model. As a result, the AI removed credit for peer response when interactional markers were absent within a given chunk, even when instructor or teaching assistant grading, based on a holistic view of the forum, awarded full credit. This finding highlights an important interaction between prompt architecture and assessment outcomes and underscores the need for explicit design strategies when operationalizing social presence in AI-supported grading systems. </w:t>
      </w:r>
    </w:p>
    <w:p>
      <w:pPr>
        <w:pStyle w:val="Heading4"/>
        <w:spacing w:lineRule="auto"/>
      </w:pPr>
      <w:r>
        <w:rPr/>
        <w:t xml:space="preserve"> Feedback, Scale, and Teaching Presence </w:t>
      </w:r>
    </w:p>
    <w:p>
      <w:pPr>
        <w:spacing w:lineRule="auto"/>
      </w:pPr>
      <w:r>
        <w:rPr/>
        <w:t xml:space="preserve"> A notable pattern emerged in larger-enrolment contexts, where instructor feedback was absent or minimal across multiple student submissions. In contrast, the AI consistently generated brief, rubric-aligned annotations and flagged cases requiring instructor intervention. This pattern underscores the potential of AI-supported grading to function as a teaching-presence amplifier, particularly in large or asynchronous courses, by signaling where human follow-up is pedagogically necessary rather than replacing instructor judgment. </w:t>
      </w:r>
    </w:p>
    <w:p>
      <w:pPr>
        <w:spacing w:lineRule="auto"/>
      </w:pPr>
      <w:r>
        <w:rPr/>
        <w:t xml:space="preserve"> All these cases illustrate a fundamental difference between AI-supported and instructor grading logics. The AI applied rubric criteria consistently across dimensions, distributing partial credit adjustments across multiple areas when rubric-defined indicators were absent. In contrast, instructors and teaching assistants often exercised pedagogical discretion by foregrounding a single salient weakness or learning priority, while allowing strengths in other areas to contextualize specific omissions. This divergence does not indicate grading error, but rather reflects complementary assessment approaches, rule-based consistency and professional judgement, each carrying distinct implications for transparency, instructional intent and learning feedback. </w:t>
      </w:r>
    </w:p>
    <w:p>
      <w:pPr>
        <w:pStyle w:val="Heading2"/>
        <w:spacing w:lineRule="auto"/>
      </w:pPr>
      <w:r>
        <w:rPr/>
        <w:t xml:space="preserve"> Limitations </w:t>
      </w:r>
    </w:p>
    <w:p>
      <w:pPr>
        <w:spacing w:lineRule="auto"/>
      </w:pPr>
      <w:r>
        <w:rPr/>
        <w:t xml:space="preserve"> While the findings indicate meaningful alignment between AI-generated and instructor-assigned grades across several rubric dimensions, several limitations should be acknowledged. </w:t>
      </w:r>
    </w:p>
    <w:p>
      <w:pPr>
        <w:spacing w:lineRule="auto"/>
      </w:pPr>
      <w:r>
        <w:rPr/>
        <w:t xml:space="preserve"> First, the study relied on archived discussion data from a single course context, limiting the generalizability of findings across disciplines, instructional designs, or assessment cultures. Discussion norms, instructor expectations, and interpretations of rubric criteria, particularly for interaction and participation—are known to vary across contexts (Garrison et al., 2000; Swan &amp; Shih, 2005). Replication across courses and institutions would be required to establish broader applicability. </w:t>
      </w:r>
    </w:p>
    <w:p>
      <w:pPr>
        <w:spacing w:lineRule="auto"/>
      </w:pPr>
      <w:r>
        <w:rPr/>
        <w:t xml:space="preserve"> Second, score variability was constrained for certain criteria, most notably Timeliness and Mechanics, where instructor scores showed no variance (SD = 0). As a result, correlation analysis for this criterion was not statistically meaningful. This reflects consistent instructor grading practices for procedural criteria rather than a limitation of the prompt itself; however, it restricts conclusions about AI–instructor agreement for rubric elements that are binary or compliance-oriented. </w:t>
      </w:r>
    </w:p>
    <w:p>
      <w:pPr>
        <w:spacing w:lineRule="auto"/>
      </w:pPr>
      <w:r>
        <w:rPr/>
        <w:t xml:space="preserve"> Third, differences in how peer interaction was operationalized emerged as a central limitation. The prompt evaluated interaction based strictly on visible, text-based evidence within the provided discussion export. In contrast, instructor grading occasionally incorporated contextual or holistic judgment (e.g., recognizing engagement patterns across threads or weeks). As demonstrated in several cases, this discrepancy resulted in misalignment when peer replies were present but not surfaced clearly within the same textual unit processed by the model. This highlights the importance of explicit, machine-interpretable definitions of interaction when rubrics are applied through AI systems (Rourke &amp; Anderson, 2004). </w:t>
      </w:r>
    </w:p>
    <w:p>
      <w:pPr>
        <w:spacing w:lineRule="auto"/>
      </w:pPr>
      <w:r>
        <w:rPr/>
        <w:t xml:space="preserve"> Fourth, the chunking strategy, while necessary for processing large discussion datasets, introduced boundary effects. When student contributions were distributed across chunks, the AI’s capacity to recognize interaction or continuity was occasionally reduced. Although overlap was implemented to mitigate this issue, chunking remains a structural constraint that can affect fidelity when grading discourse-based assessments. However, this limitation is likely to diminish as large language models continue to expand their context windows, enabling the processing of complete discussion threads without segmentation. Recent developments in high-context models (e.g., million-token context windows) suggest that future implementations may support more holistic and contextually accurate analysis of interaction patterns. </w:t>
      </w:r>
    </w:p>
    <w:p>
      <w:pPr>
        <w:spacing w:lineRule="auto"/>
      </w:pPr>
      <w:r>
        <w:rPr/>
        <w:t xml:space="preserve"> Fifth, the study compared AI-generated grades against a single instructor’s grading, rather than multiple raters. As a result, the analysis cannot disentangle AI–instructor disagreement from normal inter-rater variability that would be expected among human graders. Future work incorporating multiple instructors would strengthen claims regarding reliability. </w:t>
      </w:r>
    </w:p>
    <w:p>
      <w:pPr>
        <w:spacing w:lineRule="auto"/>
      </w:pPr>
      <w:r>
        <w:rPr/>
        <w:t xml:space="preserve"> Finally, while the prompt produced consistent formative feedback and educator annotations, the pedagogical quality of feedback was not independently evaluated by students or instructors. The study therefore, focuses on alignment and fidelity rather than learner-perceived usefulness or instructional impact. </w:t>
      </w:r>
    </w:p>
    <w:p>
      <w:pPr>
        <w:pStyle w:val="Heading2"/>
        <w:spacing w:lineRule="auto"/>
      </w:pPr>
      <w:r>
        <w:rPr/>
        <w:t xml:space="preserve"> Future Directions </w:t>
      </w:r>
    </w:p>
    <w:p>
      <w:pPr>
        <w:spacing w:lineRule="auto"/>
      </w:pPr>
      <w:r>
        <w:rPr/>
        <w:t xml:space="preserve"> Several future directions emerge from this work, both methodologically and pedagogically. </w:t>
      </w:r>
    </w:p>
    <w:p>
      <w:pPr>
        <w:spacing w:lineRule="auto"/>
      </w:pPr>
      <w:r>
        <w:rPr/>
        <w:t xml:space="preserve"> A primary next step is the development of a fully integrated AI-supported forum autograder designed specifically for large-enrolment and high-interaction courses. Rather than replacing instructor judgment, such a system could function as an instructional support layer, generating provisional grades, structured feedback, and CoI-aligned annotations that instructors can review, adjust, or approve. </w:t>
      </w:r>
    </w:p>
    <w:p>
      <w:pPr>
        <w:spacing w:lineRule="auto"/>
      </w:pPr>
      <w:r>
        <w:rPr/>
        <w:t xml:space="preserve"> Building on the current prompt, future versions could incorporate explicit intervention signaling, whereby the system flags students whose posts indicate potential academic risk, conceptual confusion, or limited engagement. These signals could be surfaced through the learning management system (LMS) as instructor notifications, enabling timely pedagogical intervention while preserving the instructor’s authority and human judgment. This approach aligns with teaching presence as defined in the Community of Inquiry framework (Anderson et al., 2001). </w:t>
      </w:r>
    </w:p>
    <w:p>
      <w:pPr>
        <w:spacing w:lineRule="auto"/>
      </w:pPr>
      <w:r>
        <w:rPr/>
        <w:t xml:space="preserve"> Another promising direction involves enhanced modelling of peer interaction. Future prompts could differentiate between types of interaction (e.g., substantive reply, acknowledgement, question-posing) and apply graded thresholds rather than binary scoring. Clearer rubric language, designed explicitly for AI interpretation, would reduce ambiguity and improve alignment between automated and human grading, reinforcing methodological transparency. </w:t>
      </w:r>
    </w:p>
    <w:p>
      <w:pPr>
        <w:spacing w:lineRule="auto"/>
      </w:pPr>
      <w:r>
        <w:rPr/>
        <w:t xml:space="preserve"> From a design perspective, future iterations could integrate adaptive thresholds for mechanics and language quality, distinguishing between minor, occasional errors and patterns that meaningfully impede communication. This would better reflect authentic instructor practice and support inclusive assessment, particularly in multilingual or international learning contexts. </w:t>
      </w:r>
    </w:p>
    <w:p>
      <w:pPr>
        <w:spacing w:lineRule="auto"/>
      </w:pPr>
      <w:r>
        <w:rPr/>
        <w:t xml:space="preserve"> At a broader level, this work points toward the potential of AI-assisted formative assessment ecosystems in blended and online learning. When designed with pedagogical intent, grounded in established frameworks such as CoI, and deployed transparently, AI systems can support instructors in maintaining teaching presence, scaling feedback, and sustaining meaningful interaction in increasingly complex learning environments. </w:t>
      </w:r>
    </w:p>
    <w:p>
      <w:pPr>
        <w:pStyle w:val="Heading2"/>
        <w:spacing w:lineRule="auto"/>
      </w:pPr>
      <w:r>
        <w:rPr/>
        <w:t xml:space="preserve"> References </w:t>
      </w:r>
    </w:p>
    <w:p>
      <w:pPr>
        <w:spacing w:lineRule="auto"/>
      </w:pPr>
      <w:r>
        <w:rPr/>
        <w:t xml:space="preserve"> Arbaugh, J. B., Cleveland-Innes, M., Diaz, S. R., Garrison, D. R., Ice, P., Richardson, J. C., &amp; Swan, K. P. (2008). Developing a community of inquiry instrument: Testing a measure of the community of inquiry framework using a multi-institutional sample. The Internet and Higher Education, 11(3-4), 133-136. </w:t>
      </w:r>
      <w:hyperlink r:id="rId6">
        <w:r>
          <w:rPr>
            <w:rStyle w:val="Hyperlink"/>
          </w:rPr>
          <w:t xml:space="preserve"> https://www.sciencedirect.com/science/article/pii/S1096751608000250</w:t>
        </w:r>
      </w:hyperlink>
    </w:p>
    <w:p>
      <w:pPr>
        <w:spacing w:lineRule="auto"/>
      </w:pPr>
      <w:r>
        <w:rPr/>
        <w:t xml:space="preserve"> Biggs, J. (1996). Enhancing teaching through constructive alignment. Higher Education, 32(3), 347-364. </w:t>
      </w:r>
      <w:hyperlink r:id="rId7">
        <w:r>
          <w:rPr>
            <w:rStyle w:val="Hyperlink"/>
          </w:rPr>
          <w:t xml:space="preserve">https://link.springer.com/article/10.1007/bf00138871</w:t>
        </w:r>
      </w:hyperlink>
    </w:p>
    <w:p>
      <w:pPr>
        <w:spacing w:lineRule="auto"/>
      </w:pPr>
      <w:r>
        <w:rPr/>
        <w:t xml:space="preserve"> Bunsu, C., Abd Halim, N. D., &amp; Yadi, F. (2025). Evaluating Quality over Quantity: A Systematic Review of Discussion Forum Metrics in Online Learning. Progress in Computers and Learning, 3(1), 21-41. </w:t>
      </w:r>
      <w:hyperlink r:id="rId8">
        <w:r>
          <w:rPr>
            <w:rStyle w:val="Hyperlink"/>
          </w:rPr>
          <w:t xml:space="preserve"> https://karyailham.com.my/index.php/picl/article/view/309 </w:t>
        </w:r>
      </w:hyperlink>
    </w:p>
    <w:p>
      <w:pPr>
        <w:spacing w:lineRule="auto"/>
      </w:pPr>
      <w:r>
        <w:rPr/>
        <w:t xml:space="preserve"> CAST. (2024). Universal design for learning guidelines version 3.0 [Graphic organizer]. Author. </w:t>
      </w:r>
      <w:hyperlink r:id="rId9">
        <w:r>
          <w:rPr>
            <w:rStyle w:val="Hyperlink"/>
          </w:rPr>
          <w:t xml:space="preserve"> https://udlguidelines.cast.org/more/downloads/ </w:t>
        </w:r>
      </w:hyperlink>
    </w:p>
    <w:p>
      <w:pPr>
        <w:spacing w:lineRule="auto"/>
      </w:pPr>
      <w:r>
        <w:rPr/>
        <w:t xml:space="preserve"> Chen, B. (2025). Beyond tools: Generative AI as epistemic infrastructure in education. arXiv. </w:t>
      </w:r>
      <w:hyperlink r:id="rId10">
        <w:r>
          <w:rPr>
            <w:rStyle w:val="Hyperlink"/>
          </w:rPr>
          <w:t xml:space="preserve"> https://arxiv.org/abs/2504.06928 </w:t>
        </w:r>
      </w:hyperlink>
    </w:p>
    <w:p>
      <w:pPr>
        <w:spacing w:lineRule="auto"/>
      </w:pPr>
      <w:r>
        <w:rPr/>
        <w:t xml:space="preserve"> Darabi, A., Arrastia, M. C., Nelson, D. W., Cornille, T., &amp; Liang, X. (2011). Cognitive presence in asynchronous online learning: A comparison of four discussion strategies. Journal of Computer Assisted Learning, 27(3), 216-227. </w:t>
      </w:r>
      <w:hyperlink r:id="rId11">
        <w:r>
          <w:rPr>
            <w:rStyle w:val="Hyperlink"/>
          </w:rPr>
          <w:t xml:space="preserve"> https://onlinelibrary.wiley.com/doi/full/10.1111/j.1365-2729.2010.00392.x</w:t>
        </w:r>
      </w:hyperlink>
    </w:p>
    <w:p>
      <w:pPr>
        <w:spacing w:lineRule="auto"/>
      </w:pPr>
      <w:r>
        <w:rPr/>
        <w:t xml:space="preserve"> Fehrman, S., &amp; Watson, S. L. (2021). A systematic review of asynchronous online discussions in online higher education. American Journal of Distance Education, 35(3), 200-213. </w:t>
      </w:r>
      <w:hyperlink r:id="rId12">
        <w:r>
          <w:rPr>
            <w:rStyle w:val="Hyperlink"/>
          </w:rPr>
          <w:t xml:space="preserve"> https://www.tandfonline.com/doi/full/10.1080/08923647.2020.1858705</w:t>
        </w:r>
      </w:hyperlink>
    </w:p>
    <w:p>
      <w:pPr>
        <w:spacing w:lineRule="auto"/>
      </w:pPr>
      <w:r>
        <w:rPr/>
        <w:t xml:space="preserve"> Fiock, H. S. (2020). Designing a community of inquiry in online courses. The International Review of Research in Open and Distributed Learning, 21(1), 135-153. </w:t>
      </w:r>
      <w:hyperlink r:id="rId13">
        <w:r>
          <w:rPr>
            <w:rStyle w:val="Hyperlink"/>
          </w:rPr>
          <w:t xml:space="preserve"> http://www.irrodl.org/index.php/irrodl/article/view/3985 </w:t>
        </w:r>
      </w:hyperlink>
    </w:p>
    <w:p>
      <w:pPr>
        <w:spacing w:lineRule="auto"/>
      </w:pPr>
      <w:r>
        <w:rPr/>
        <w:t xml:space="preserve"> Fishman, B. J., Penuel, W. R., Allen, A. R., Cheng, B. H., &amp; Sabelli, N. O. R. A. (2013). Design-based implementation research: An emerging model for transforming the relationship of research and practice. Teachers College Record, 115(14), 136-156. </w:t>
      </w:r>
      <w:hyperlink r:id="rId14">
        <w:r>
          <w:rPr>
            <w:rStyle w:val="Hyperlink"/>
          </w:rPr>
          <w:t xml:space="preserve"> https://journals.sagepub.com/doi/abs/10.1177/016146811311501415</w:t>
        </w:r>
      </w:hyperlink>
    </w:p>
    <w:p>
      <w:pPr>
        <w:spacing w:lineRule="auto"/>
      </w:pPr>
      <w:r>
        <w:rPr/>
        <w:t xml:space="preserve"> Garrison, D. R. (2022). Shared metacognition in a community of inquiry. Online learning, 26(1), 6-18. </w:t>
      </w:r>
      <w:hyperlink r:id="rId15">
        <w:r>
          <w:rPr>
            <w:rStyle w:val="Hyperlink"/>
          </w:rPr>
          <w:t xml:space="preserve"> https://eric.ed.gov/?id=EJ1340664 </w:t>
        </w:r>
      </w:hyperlink>
    </w:p>
    <w:p>
      <w:pPr>
        <w:spacing w:lineRule="auto"/>
      </w:pPr>
      <w:r>
        <w:rPr/>
        <w:t xml:space="preserve"> Garrison, D. R., &amp; Arbaugh, J. B. (2007). Researching the community of inquiry framework: Review, issues, and future directions. The Internet and Higher Education, 10(3), 157-172. </w:t>
      </w:r>
      <w:hyperlink r:id="rId16">
        <w:r>
          <w:rPr>
            <w:rStyle w:val="Hyperlink"/>
          </w:rPr>
          <w:t xml:space="preserve"> https://www.sciencedirect.com/science/article/pii/S1096751607000358</w:t>
        </w:r>
      </w:hyperlink>
    </w:p>
    <w:p>
      <w:pPr>
        <w:spacing w:lineRule="auto"/>
      </w:pPr>
      <w:r>
        <w:rPr/>
        <w:t xml:space="preserve"> Garrison, D. R., Anderson, T., &amp; Archer, W. (1999). Critical inquiry in a text-based environment: Computer conferencing in higher education. The Internet and Higher Education, 2(2-3), 87-105. </w:t>
      </w:r>
      <w:hyperlink r:id="rId17">
        <w:r>
          <w:rPr>
            <w:rStyle w:val="Hyperlink"/>
          </w:rPr>
          <w:t xml:space="preserve"> https://www.sciencedirect.com/science/article/pii/S1096751600000166</w:t>
        </w:r>
      </w:hyperlink>
    </w:p>
    <w:p>
      <w:pPr>
        <w:spacing w:lineRule="auto"/>
      </w:pPr>
      <w:r>
        <w:rPr/>
        <w:t xml:space="preserve"> Garrison, D. R., Anderson, T., &amp; Archer, W. (2001). Critical thinking, cognitive presence, and computer conferencing in distance education. American Journal of Distance Education, 15(1), 7-23. </w:t>
      </w:r>
      <w:hyperlink r:id="rId18">
        <w:r>
          <w:rPr>
            <w:rStyle w:val="Hyperlink"/>
          </w:rPr>
          <w:t xml:space="preserve"> https://www.tandfonline.com/doi/abs/10.1080/08923640109527071</w:t>
        </w:r>
      </w:hyperlink>
    </w:p>
    <w:p>
      <w:pPr>
        <w:spacing w:lineRule="auto"/>
      </w:pPr>
      <w:r>
        <w:rPr/>
        <w:t xml:space="preserve"> IDEO. (n.d.). Design thinking for educators toolkit. </w:t>
      </w:r>
      <w:hyperlink r:id="rId19">
        <w:r>
          <w:rPr>
            <w:rStyle w:val="Hyperlink"/>
          </w:rPr>
          <w:t xml:space="preserve"> https://page.ideo.com/design-thinking-edu-toolkit </w:t>
        </w:r>
      </w:hyperlink>
    </w:p>
    <w:p>
      <w:pPr>
        <w:spacing w:lineRule="auto"/>
      </w:pPr>
      <w:r>
        <w:rPr/>
        <w:t xml:space="preserve"> Martin, A. F., Tubaltseva, S., Harrison, A., &amp; Rubin, G. J. (2025). Participatory Co-Design and Evaluation of a Novel Approach to Generative AI-Integrated Coursework Assessment in Higher Education. Behavioral Sciences, 15(6), 808. </w:t>
      </w:r>
      <w:hyperlink r:id="rId20">
        <w:r>
          <w:rPr>
            <w:rStyle w:val="Hyperlink"/>
          </w:rPr>
          <w:t xml:space="preserve"> https://www.mdpi.com/2076-328X/15/6/808 </w:t>
        </w:r>
      </w:hyperlink>
    </w:p>
    <w:p>
      <w:pPr>
        <w:spacing w:lineRule="auto"/>
      </w:pPr>
      <w:r>
        <w:rPr/>
        <w:t xml:space="preserve"> McTighe, J., &amp; Wiggins, G. (2012). Understanding by design framework [pdf]. ASCD. </w:t>
      </w:r>
      <w:hyperlink r:id="rId21">
        <w:r>
          <w:rPr>
            <w:rStyle w:val="Hyperlink"/>
          </w:rPr>
          <w:t xml:space="preserve"> https://fayettesupport.wordpress.com/wp-content/uploads/2023/12/ubd-ascd-1.pdf </w:t>
        </w:r>
      </w:hyperlink>
    </w:p>
    <w:p>
      <w:pPr>
        <w:spacing w:lineRule="auto"/>
      </w:pPr>
      <w:r>
        <w:rPr/>
        <w:t xml:space="preserve"> Meyer, K. A. (2003). Face-to-face versus threaded discussions: The role of time and higher-order thinking. Journal of Asynchronous Learning Networks, 7(3), 55-65. chrome-extension://efaidnbmnnnibpcajpcglclefindmkaj/https://itecideas.pbworks.com/f/v7n3_meyer.pdf </w:t>
      </w:r>
    </w:p>
    <w:p>
      <w:pPr>
        <w:spacing w:lineRule="auto"/>
      </w:pPr>
      <w:r>
        <w:rPr/>
        <w:t xml:space="preserve"> Nadeesha, P. A. L., Weerasinghe, T. A., &amp; Abeyweera, W. R. N. S. (2025). Automatic scoring of knowledge gained and shared through discussion forums: based on the community of inquiry model. Information Technologies and Learning Tools, 105(1), 85. </w:t>
      </w:r>
      <w:hyperlink r:id="rId22">
        <w:r>
          <w:rPr>
            <w:rStyle w:val="Hyperlink"/>
          </w:rPr>
          <w:t xml:space="preserve"> https://www.proquest.com/docview/3175025080?fromopenview=true&amp;pq-origsite=gscholar&amp;sourcetype=Scholarly%20Journals </w:t>
        </w:r>
      </w:hyperlink>
    </w:p>
    <w:p>
      <w:pPr>
        <w:spacing w:lineRule="auto"/>
      </w:pPr>
      <w:r>
        <w:rPr/>
        <w:t xml:space="preserve"> Rourke, L. (1999). Assessing social presence in asynchronous text-based computer conferencing. Journal of Distance Education. </w:t>
      </w:r>
      <w:hyperlink r:id="rId23">
        <w:r>
          <w:rPr>
            <w:rStyle w:val="Hyperlink"/>
          </w:rPr>
          <w:t xml:space="preserve"> https://www.academia.edu/download/53465242/Assessing_20Social_20Presence_20In_20Asynchronous_20Text-based_20Computer_20Conferencing.pdf </w:t>
        </w:r>
      </w:hyperlink>
    </w:p>
    <w:p>
      <w:pPr>
        <w:spacing w:lineRule="auto"/>
      </w:pPr>
      <w:r>
        <w:rPr/>
        <w:t xml:space="preserve"> Rourke, L., &amp; Anderson, T. (2004). Validity in quantitative content analysis. Educational Technology Research and Development, 52(1), 5-18. </w:t>
      </w:r>
      <w:hyperlink r:id="rId24">
        <w:r>
          <w:rPr>
            <w:rStyle w:val="Hyperlink"/>
          </w:rPr>
          <w:t xml:space="preserve">https://link.springer.com/article/10.1007/BF02504769</w:t>
        </w:r>
      </w:hyperlink>
    </w:p>
    <w:p>
      <w:pPr>
        <w:spacing w:lineRule="auto"/>
      </w:pPr>
      <w:r>
        <w:rPr/>
        <w:t xml:space="preserve"> Sorensen, C. K., &amp; Baylen, D. M. (2009). Learning online. In A. Orellana, T. L. Hudgins, &amp; M. Simonson (Eds.), The perfect online course: Best practices for designing and teaching (pp. 69–86). Information Age Publishing.</w:t>
      </w:r>
    </w:p>
    <w:p>
      <w:pPr>
        <w:spacing w:lineRule="auto"/>
      </w:pPr>
      <w:r>
        <w:rPr/>
        <w:t xml:space="preserve"> Swan, K., &amp; Shih, L. F. (2005). On the nature and development of social presence in online course discussions. Journal of Asynchronous Learning Networks, 9(3), 115-136. </w:t>
      </w:r>
      <w:hyperlink r:id="rId25">
        <w:r>
          <w:rPr>
            <w:rStyle w:val="Hyperlink"/>
          </w:rPr>
          <w:t xml:space="preserve"> https://www.academia.edu/download/1899948/JALN_socpres2_v9n3_swan.pdf </w:t>
        </w:r>
      </w:hyperlink>
    </w:p>
    <w:p>
      <w:pPr>
        <w:spacing w:lineRule="auto"/>
      </w:pPr>
      <w:r>
        <w:rPr/>
        <w:t xml:space="preserve"> Wiggins, G. P., &amp; McTighe, J. (2005). Understanding by design. ASCD. </w:t>
      </w:r>
    </w:p>
    <w:p>
      <w:pPr>
        <w:pStyle w:val="Heading2"/>
        <w:spacing w:lineRule="auto"/>
      </w:pPr>
      <w:r>
        <w:rPr/>
        <w:t xml:space="preserve"> Appendix 1</w:t>
      </w:r>
    </w:p>
    <w:p>
      <w:pPr>
        <w:pStyle w:val="Heading3"/>
        <w:spacing w:lineRule="auto"/>
      </w:pPr>
      <w:r>
        <w:rPr/>
        <w:t xml:space="preserve"> Case-informed interpretation of Misalignment </w:t>
      </w:r>
    </w:p>
    <w:p>
      <w:pPr>
        <w:spacing w:lineRule="auto"/>
      </w:pPr>
      <w:r>
        <w:rPr/>
        <w:t xml:space="preserve"> To contextualize the quantitative findings, twelve representative cases were examined to understand how the AI and instructor differed in interpreting student participation and rubric criteria. </w:t>
      </w:r>
    </w:p>
    <w:p>
      <w:pPr>
        <w:spacing w:lineRule="auto"/>
      </w:pPr>
      <w:r>
        <w:rPr/>
        <w:t xml:space="preserve"> Case 1 </w:t>
      </w:r>
    </w:p>
    <w:p>
      <w:pPr>
        <w:spacing w:lineRule="auto"/>
      </w:pPr>
      <w:r>
        <w:rPr/>
        <w:t xml:space="preserve"> Instructor assigned a score of zero for (removed) Critical Thinking; AI retained the score; no instructor feedback was provided. </w:t>
      </w:r>
    </w:p>
    <w:p>
      <w:pPr>
        <w:spacing w:lineRule="auto"/>
      </w:pPr>
      <w:r>
        <w:rPr/>
        <w:t xml:space="preserve"> This case illustrates the AI’s consistent application of rubric-defined indicators of critical thinking when evidence of analysis and argumentation was present in the student post. In contrast, the instructor withheld the score without providing explanatory feedback. The absence of instructor justification limits interpretive clarity and underscores the AI’s potential role in supporting rubric transparency when manual grading decisions are undocumented. </w:t>
      </w:r>
    </w:p>
    <w:p>
      <w:pPr>
        <w:spacing w:lineRule="auto"/>
      </w:pPr>
      <w:r>
        <w:rPr/>
        <w:t xml:space="preserve"> Case 2 </w:t>
      </w:r>
    </w:p>
    <w:p>
      <w:pPr>
        <w:spacing w:lineRule="auto"/>
      </w:pPr>
      <w:r>
        <w:rPr/>
        <w:t xml:space="preserve"> instructor assigned a score of zero for Critical Thinking; AI assigned a score of zero for Response to Others score. </w:t>
      </w:r>
    </w:p>
    <w:p>
      <w:pPr>
        <w:spacing w:lineRule="auto"/>
      </w:pPr>
      <w:r>
        <w:rPr/>
        <w:t xml:space="preserve"> This case reflects partial alignment with divergent focal points. The instructor appeared to prioritize deficiencies in cognitive depth, whereas the AI penalized the absence of visible peer interaction. The discrepancy arises from differing emphases on rubric dimensions rather than from a grading error, highlighting how AI and instructor judgements may diverge when criteria are weighted differently. </w:t>
      </w:r>
    </w:p>
    <w:p>
      <w:pPr>
        <w:spacing w:lineRule="auto"/>
      </w:pPr>
      <w:r>
        <w:rPr/>
        <w:t xml:space="preserve"> Case 3 </w:t>
      </w:r>
    </w:p>
    <w:p>
      <w:pPr>
        <w:spacing w:lineRule="auto"/>
      </w:pPr>
      <w:r>
        <w:rPr/>
        <w:t xml:space="preserve"> instructor assigned a score of zero for Development of Ideas; AI assigned a score of zero for both Critical Thinking and Response to Others. </w:t>
      </w:r>
    </w:p>
    <w:p>
      <w:pPr>
        <w:spacing w:lineRule="auto"/>
      </w:pPr>
      <w:r>
        <w:rPr/>
        <w:t xml:space="preserve"> Here, the instructor concentrated on a single perceived weakness, while the AI decomposed performance across multiple rubric dimensions. The AI’s multi-criterion enforcement aligns with a literal interpretation of the rubric but contrasts with the instructor’s more holistic judgement. This case illustrates how rule-based consistency may surface additional deficiencies not foregrounded in manual grading. </w:t>
      </w:r>
    </w:p>
    <w:p>
      <w:pPr>
        <w:spacing w:lineRule="auto"/>
      </w:pPr>
      <w:r>
        <w:rPr/>
        <w:t xml:space="preserve"> Case 4 </w:t>
      </w:r>
    </w:p>
    <w:p>
      <w:pPr>
        <w:spacing w:lineRule="auto"/>
      </w:pPr>
      <w:r>
        <w:rPr/>
        <w:t xml:space="preserve"> instructor assigned a score of zero for Critical Thinking; no instructor feedback was provided; AI retained the full score. </w:t>
      </w:r>
    </w:p>
    <w:p>
      <w:pPr>
        <w:spacing w:lineRule="auto"/>
      </w:pPr>
      <w:r>
        <w:rPr/>
        <w:t xml:space="preserve"> As in Case 1, the lack of instructor feedback complicates comparative interpretation. The AI’s decision reflects the presence of discernible analytical and synthetic elements within the student post. This case reinforces the importance of explicit feedback in instructor grading to support transparency and alignment with rubric criteria. </w:t>
      </w:r>
    </w:p>
    <w:p>
      <w:pPr>
        <w:spacing w:lineRule="auto"/>
      </w:pPr>
      <w:r>
        <w:rPr/>
        <w:t xml:space="preserve"> Case 5 </w:t>
      </w:r>
    </w:p>
    <w:p>
      <w:pPr>
        <w:spacing w:lineRule="auto"/>
      </w:pPr>
      <w:r>
        <w:rPr/>
        <w:t xml:space="preserve"> instructor assigned a score of zero ( garde) for Response to Others; AI awarded credit, identified as an AI grading error. </w:t>
      </w:r>
    </w:p>
    <w:p>
      <w:pPr>
        <w:spacing w:lineRule="auto"/>
      </w:pPr>
      <w:r>
        <w:rPr/>
        <w:t xml:space="preserve"> In this case, the student did not respond to peers, and the instructor’s score accurately reflected rubric requirements. The AI incorrectly attributed peer interaction, likely due to structural ambiguity in the discussion export. This represents a genuine limitation of the AI system and supports positioning AI-generated grades as advisory rather than authoritative. </w:t>
      </w:r>
    </w:p>
    <w:p>
      <w:pPr>
        <w:spacing w:lineRule="auto"/>
      </w:pPr>
      <w:r>
        <w:rPr/>
        <w:t xml:space="preserve"> Case 6 </w:t>
      </w:r>
    </w:p>
    <w:p>
      <w:pPr>
        <w:spacing w:lineRule="auto"/>
      </w:pPr>
      <w:r>
        <w:rPr/>
        <w:t xml:space="preserve"> instructor assigned a grade of zero for Critical Thinking score; AI assigned a score of zero for Response to Others score; no instructor feedback was provided. </w:t>
      </w:r>
    </w:p>
    <w:p>
      <w:pPr>
        <w:spacing w:lineRule="auto"/>
      </w:pPr>
      <w:r>
        <w:rPr/>
        <w:t xml:space="preserve"> This case illustrates the combined impact of chunking and interaction visibility. The AI correctly penalized the absence of peer interaction within the available text; however, segmentation of the discussion content may have restricted access to the student’s full participation record. The case highlights how technical preprocessing decisions can influence rubric-based judgments. </w:t>
      </w:r>
    </w:p>
    <w:p>
      <w:pPr>
        <w:spacing w:lineRule="auto"/>
      </w:pPr>
      <w:r>
        <w:rPr/>
        <w:t xml:space="preserve"> Case 7 </w:t>
      </w:r>
    </w:p>
    <w:p>
      <w:pPr>
        <w:spacing w:lineRule="auto"/>
      </w:pPr>
      <w:r>
        <w:rPr/>
        <w:t xml:space="preserve"> Student did not respond to peers; instructor retained the Peer-response score; AI assigned a score of zero for Peer-response. </w:t>
      </w:r>
    </w:p>
    <w:p>
      <w:pPr>
        <w:spacing w:lineRule="auto"/>
      </w:pPr>
      <w:r>
        <w:rPr/>
        <w:t xml:space="preserve"> Here, the AI adhered strictly to the rubric requirement for active interaction, whereas the instructor appeared to apply a more lenient or holistic interpretation. This discrepancy underscores the need for increased rubric specificity when AI systems are used, as machine grading requires clearer operational definitions than manual grading. </w:t>
      </w:r>
    </w:p>
    <w:p>
      <w:pPr>
        <w:spacing w:lineRule="auto"/>
      </w:pPr>
      <w:r>
        <w:rPr/>
        <w:t xml:space="preserve"> Case 8 </w:t>
      </w:r>
    </w:p>
    <w:p>
      <w:pPr>
        <w:spacing w:lineRule="auto"/>
      </w:pPr>
      <w:r>
        <w:rPr/>
        <w:t xml:space="preserve"> AI assigned a score of zero for “Response to Others”; instructor retained the score; peer interaction was present. </w:t>
      </w:r>
    </w:p>
    <w:p>
      <w:pPr>
        <w:spacing w:lineRule="auto"/>
      </w:pPr>
      <w:r>
        <w:rPr/>
        <w:t xml:space="preserve"> This case highlights both technical and pedagogical challenges in detecting peer interaction. Although responses existed, the AI did not award credit because interactional evidence was not clearly attributable within the processed text. The finding reinforces the necessity of explicitly defining what constitutes evidence of social presence in machine-readable terms within both rubrics and prompts. </w:t>
      </w:r>
    </w:p>
    <w:p>
      <w:pPr>
        <w:spacing w:lineRule="auto"/>
      </w:pPr>
      <w:r>
        <w:rPr/>
        <w:t xml:space="preserve"> Case 9 </w:t>
      </w:r>
    </w:p>
    <w:p>
      <w:pPr>
        <w:spacing w:lineRule="auto"/>
      </w:pPr>
      <w:r>
        <w:rPr/>
        <w:t xml:space="preserve"> No instructor feedback was provided in a large-class context (more than 15 students). </w:t>
      </w:r>
    </w:p>
    <w:p>
      <w:pPr>
        <w:spacing w:lineRule="auto"/>
      </w:pPr>
      <w:r>
        <w:rPr/>
        <w:t xml:space="preserve"> This case reflects a structural constraint rather than a grading disagreement. As cohort size increased, instructor feedback diminished, while the AI consistently generated brief, rubric-aligned annotations. This pattern supports the use of AI as a teaching assistant to sustain teaching presence and feedback at scale. </w:t>
      </w:r>
    </w:p>
    <w:p>
      <w:pPr>
        <w:spacing w:lineRule="auto"/>
      </w:pPr>
      <w:r>
        <w:rPr/>
        <w:t xml:space="preserve"> Case 10 </w:t>
      </w:r>
    </w:p>
    <w:p>
      <w:pPr>
        <w:spacing w:lineRule="auto"/>
      </w:pPr>
      <w:r>
        <w:rPr/>
        <w:t xml:space="preserve"> Instructor awarded full score for Response to Others ; AI assigned a score of zero for Response to Others. </w:t>
      </w:r>
    </w:p>
    <w:p>
      <w:pPr>
        <w:spacing w:lineRule="auto"/>
      </w:pPr>
      <w:r>
        <w:rPr/>
        <w:t xml:space="preserve"> Consistent with earlier cases, this discrepancy reflects strict rubric enforcement by the AI contrasted with instructor discretion. The case reinforces the importance of aligning rubric language with intended assessment practices prior to deploying AI-supported grading tools. </w:t>
      </w:r>
    </w:p>
    <w:p>
      <w:pPr>
        <w:spacing w:lineRule="auto"/>
      </w:pPr>
      <w:r>
        <w:rPr/>
        <w:t xml:space="preserve"> Case 11 </w:t>
      </w:r>
    </w:p>
    <w:p>
      <w:pPr>
        <w:spacing w:lineRule="auto"/>
      </w:pPr>
      <w:r>
        <w:rPr/>
        <w:t xml:space="preserve"> instructor awarded partial credit (0.5) for Development of Ideas; AI assigned a score of zero for Response to Others score. </w:t>
      </w:r>
    </w:p>
    <w:p>
      <w:pPr>
        <w:spacing w:lineRule="auto"/>
      </w:pPr>
      <w:r>
        <w:rPr/>
        <w:t xml:space="preserve"> This case demonstrates divergent interpretations across rubric dimensions. The instructor emphasized partial cognitive development, while the AI penalized the absence of social interaction. The difference reflects prioritization rather than misapplication of criteria. </w:t>
      </w:r>
    </w:p>
    <w:p>
      <w:pPr>
        <w:spacing w:lineRule="auto"/>
      </w:pPr>
      <w:r>
        <w:rPr/>
        <w:t xml:space="preserve"> Case 12 </w:t>
      </w:r>
    </w:p>
    <w:p>
      <w:pPr>
        <w:spacing w:lineRule="auto"/>
      </w:pPr>
      <w:r>
        <w:rPr/>
        <w:t xml:space="preserve"> Instructor assigned a grade of zero for Critical Thinking; AI assigned a grade of zero for both Critical Thinking and Response to Others. </w:t>
      </w:r>
    </w:p>
    <w:p>
      <w:pPr>
        <w:spacing w:lineRule="auto"/>
      </w:pPr>
      <w:r>
        <w:rPr/>
        <w:t xml:space="preserve"> The final case illustrates the AI’s tendency toward rule-based consistency across rubric criteria, compared with the instructor’s prioritization of a single dominant weakness. This contrast highlights differing grading logics rather than substantive disagreement. </w:t>
      </w:r>
    </w:p>
    <w:p>
      <w:pPr>
        <w:pStyle w:val="Heading2"/>
        <w:spacing w:lineRule="auto"/>
      </w:pPr>
      <w:r>
        <w:rPr/>
        <w:t xml:space="preserve"> Appendix 2</w:t>
      </w:r>
    </w:p>
    <w:p>
      <w:pPr>
        <w:spacing w:lineRule="auto"/>
      </w:pPr>
      <w:r>
        <w:rPr>
          <w:rFonts w:ascii="Courier" w:hAnsi="Courier"/>
        </w:rPr>
        <w:t xml:space="preserve">      # ===========================    # ONE-CELL LARGE FORUM GRADER (Anthropic) — paste once, run once    # Edit ONLY: DISCUSSION_PROMPT, REQUIREMENTS_TEXT, forum_text    # Saves: forum_grades.csv    # Docs: https://docs.anthropic.com/    # ===========================    import os, json, re, math, time    from typing import Any, Dict, List, Tuple    import pandas as pd    from anthropic import Anthropic    from IPython.display import display        # ---------------------------    # A) EDIT THESE 3 BLOCKS ONLY    # ---------------------------    DISCUSSION_PROMPT = """    Paste prompt purpose    """.strip()    REQUIREMENTS_TEXT = """    Paste Instructions here    """.strip()    # Paste the FULL forum export here (as-is):    forum_text = """ Paste Discussion forums Text here    """.strip()   # &lt;-- paste between the triple quotes        # ---------------------------    # B) API + Model    # ---------------------------    API_KEY = os.getenv("ANTHROPIC_API_KEY")    if not API_KEY:    raise RuntimeError("ANTHROPIC_API_KEY is not set. Set it as an environment variable, restart Jupyter, then run again.")    client = Anthropic(api_key=API_KEY)    MODEL = "claude-haiku-4-5-20251001"    print("Using MODEL:", MODEL)        # ---------------------------    # C) Rubric (fixed)    # ---------------------------    RUBRIC_TEXT = """    Evaluation Criteria    Advanced    Proficient    Not There At All (0pts)    Development of Ideas    Well-developed ideas    Introduces new ideas    Stimulates discussion (1pt)    Developing ideas    Sometimes stimulates discussion (0.5 pt)    Does not enter the discussion    Critical Thinking    Clear evidence of critical thinking--application, analysis, synthesis and evaluation    Postings have clarity of argument, depth of insight into theoretical issues, originality of treatment, and relevance    Sometimes include unusual insights    Arguments are well supported (2 pts)    Beginnings of critical thinking    Postings tend to address peripheral issues    Generally accurate, but could be improved with more analysis and creative thought    Tendency to recite facts rather than address issues (1pt)    Does not enter the discussion    Response to Other Students and Instructor    Interacts actively in the discussion (1pt)    Does not enter discussion    Timeliness and Mechanics    Individual message and required number of responses posted before deadline    Standard English mechanics and grammar were used in the initial post   (1pt)    Noticeable problems with mechanics or late postings (0.5 pt)    No messages posted    """.strip()        # ---------------------------    # D) System prompt (JSONL to avoid JSONDecodeError)    # ---------------------------    SYSTEM_PROMPT = f"""    You are a university instructor applying the Community of Inquiry (CoI) framework.    Grade fairly and consistently using ONLY the rubric below.    Provide visible educator presence for ALL students using brief annotations grounded in students’ words.    Rubric (only scoring criteria allowed):    {RUBRIC_TEXT}    Hard rules:    - Do not invent participation.    - Do not reward length alone.    - If no peer interaction is visible in the provided text for that student, set response_to_others = 0.    - Keep outputs SHORT (this is a large class).    - Return JSONL ONLY: one JSON object per student per line.    - No markdown, no surrounding array, no extra text.    Each JSON object MUST match this schema exactly:    {{    "student_code": "S001",    "scores": {{    "development_of_ideas": 0 | 0.5 | 1,    "critical_thinking": 0 | 1 | 2,    "response_to_others": 0 | 1,    "timeliness_and_mechanics": 0 | 0.5 | 1    }},    "total": number,    "feedback": "1–2 sentences aligned to rubric.",    "instructor_intervention_needed": true | false,    "instructor_intervention_message": "Only if intervention_needed is true, 1–2 sentences. Otherwise empty string.",    "educator_annotations": [    {{    "quote": "Exact quote &lt;= 20 words",    "annotation": "One probing question OR conceptual bridge (1 sentence)",    "CoI_tag": "teaching_presence" | "social_presence" | "cognitive_presence"    }}    ]    }}    Use exactly ONE educator_annotations item per student (not 2–3).    """.strip()        # ---------------------------    # E) Helpers    # ---------------------------    def anthropic_text(system: str, user: str, max_tokens: int) -&gt; str:    msg = client.messages.create(    model=MODEL,    max_tokens=max_tokens,    temperature=0,    system=system,    messages=[{"role": "user", "content": user}],    )    parts = []    for block in msg.content:    if getattr(block, "type", None) == "text":    parts.append(block.text)    return "\n".join(parts).strip()    def parse_jsonl(text: str) -&gt; List[Dict[str, Any]]:    # Keep only lines that look like JSON objects    lines = [ln.strip() for ln in text.splitlines() if ln.strip()]    objs = []    for ln in lines:    if not (ln.startswith("{") and ln.endswith("}")):    continue    objs.append(json.loads(ln))    if not objs:    raise ValueError("No JSON objects parsed from model output.")    return objs    def num(x):    try:    return float(x)    except Exception:    return 0.0        # ---------------------------    # F) Splitting the big forum WITHOUT requiring C1DF IDs    # Strategy: split into character chunks with overlap so we don't miss boundaries.    # (This is the only fully format-agnostic way if exports vary.)    # ---------------------------    def chunk_text(text: str, chunk_chars: int = 14000, overlap: int = 1200) -&gt; List[str]:    text = text.strip()    if len(text) &lt;= chunk_chars:    return [text]    chunks = []    i = 0    while i &lt; len(text):    j = min(len(text), i + chunk_chars)    chunks.append(text[i:j])    if j == len(text):    break    i = max(0, j - overlap)    return chunks        # ---------------------------    # G) Grade one chunk -&gt; JSONL (with retry smaller output if needed)    # ---------------------------    def grade_chunk(chunk_text_block: str, chunk_id: int, max_tokens: int = 1800) -&gt; Tuple[List[Dict[str, Any]], str]:    user_prompt = f"""    DISCUSSION PROMPT / TASK:    {DISCUSSION_PROMPT}    REQUIREMENTS:    {REQUIREMENTS_TEXT}    FORUM CHUNK {chunk_id} (raw):    {chunk_text_block}    """.strip()    raw = anthropic_text(SYSTEM_PROMPT, user_prompt, max_tokens=max_tokens)    try:    results = parse_jsonl(raw)    return results, raw    except Exception:    # Retry once with a strict repair instruction and smaller max_tokens    repair_prompt = f"""    Your previous output was not valid JSONL.    Return JSONL ONLY now.    Rules:    - One JSON object per line    - No extra text    - Keep feedback and annotation very short    - If unsure about a student's identity, still assign sequential codes like S### within this chunk.    Re-grade the SAME input:    {user_prompt}    """.strip()    raw2 = anthropic_text(SYSTEM_PROMPT, repair_prompt, max_tokens=max(900, int(max_tokens * 0.7)))    results2 = parse_jsonl(raw2)    return results2, raw2        # ---------------------------    # H) Run all chunks, then deduplicate / clean    #    Because chunking is format-agnostic, a student may appear twice across overlaps.    #    We dedupe using a lightweight fingerprint of feedback+quote.    # ---------------------------    def fingerprint(r: Dict[str, Any]) -&gt; str:    fb = (r.get("feedback") or "").strip()    ann = r.get("educator_annotations") or []    qt = (ann[0].get("quote") if ann and isinstance(ann, list) and isinstance(ann[0], dict) else "") or ""    return (fb[:80] + "|" + qt[:80]).lower()    def normalise_result(r: Dict[str, Any], global_idx: int) -&gt; Dict[str, Any]:    # Force a safe student_code even if the model invents a weird one    sc = r.get("student_code")    if not sc or not isinstance(sc, str):    sc = f"S{global_idx:03d}"    scores = r.get("scores") or {}    out = {    "student_code": sc,    "development_of_ideas": num(scores.get("development_of_ideas", 0)),    "critical_thinking": num(scores.get("critical_thinking", 0)),    "response_to_others_and_instructor": num(scores.get("response_to_others", 0)),    "timeliness_and_mechanics": num(scores.get("timeliness_and_mechanics", 0)),    "total": num(r.get("total", 0)),    "feedback": r.get("feedback", ""),    "instructor_intervention_needed": bool(r.get("instructor_intervention_needed", False)),    "instructor_intervention_message": r.get("instructor_intervention_message", "") if bool(r.get("instructor_intervention_needed", False)) else "",    "educator_annotations": json.dumps(r.get("educator_annotations", []), ensure_ascii=False),    }    return out        # ---------------------------    # I) RUN    # ---------------------------    if not forum_text:    raise ValueError("forum_text is empty. Paste the full forum text into forum_text, then run again.")    chunks = chunk_text(forum_text, chunk_chars=14000, overlap=1200)    print(f"Forum length: {len(forum_text):,} chars | Chunks: {len(chunks)}")    all_rows = []    seen = set()    global_counter = 1    raw_logs = []    for idx, ch in enumerate(chunks, start=1):    print(f"Grading chunk {idx}/{len(chunks)} (chars={len(ch):,}) ...")    results, raw = grade_chunk(ch, chunk_id=idx, max_tokens=1800)    raw_logs.append(raw)    for r in results:    fp = fingerprint(r)    if fp in seen:    continue    seen.add(fp)    all_rows.append(normalise_result(r, global_counter))    global_counter += 1    df = pd.DataFrame(all_rows)    # --- DEDUPE: keep one row per student_code (highest total wins) ---    df["student_code"] = df["student_code"].astype(str).str.strip()    df = (    df.sort_values(    ["student_code", "total", "critical_thinking", "development_of_ideas", "timeliness_and_mechanics"],    ascending=[True, False, False, False, False],    )    .drop_duplicates(subset=["student_code"], keep="first")    .reset_index(drop=True)    )    # Optional: show best-looking rows first (overall ranking)    df = df.sort_values(    ["total", "critical_thinking", "development_of_ideas"],    ascending=[False, False, False],    ).reset_index(drop=True)    display(df)    # Save CSV in the current working directory    out_csv = "forum_grades.csv"    df.to_csv(out_csv, index=False, encoding="utf-8-sig")    print("Saved:", out_csv)    print("Current folder:", os.getcwd())    # Optional: save raw model outputs for troubleshooting    with open("forum_grades_raw_outputs.txt", "w", encoding="utf-8") as f:    for i, txt in enumerate(raw_logs, start=1):    f.write(f"\n\n===== RAW CHUNK OUTPUT {i} =====\n")    f.write(txt)    print("Saved: forum_grades_raw_outputs.txt")    </w:t>
      </w:r>
    </w:p>
    <w:p>
      <w:pPr>
        <w:spacing w:lineRule="auto"/>
      </w:pPr>
      <w:r>
        <w:rPr/>
        <w:t xml:space="preserve">Read this online at </w:t>
      </w:r>
      <w:hyperlink r:id="rId26">
        <w:r>
          <w:rPr>
            <w:rStyle w:val="Hyperlink"/>
          </w:rPr>
          <w:t xml:space="preserve">https://edtechbooks.org/promptbook/ai-supported-forum-autograder</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 https://www.sciencedirect.com/science/article/pii/S1096751608000250" TargetMode="External"/>
  <Relationship Id="rId7" Type="http://schemas.openxmlformats.org/officeDocument/2006/relationships/hyperlink" Target="https://link.springer.com/article/10.1007/bf00138871" TargetMode="External"/>
  <Relationship Id="rId8" Type="http://schemas.openxmlformats.org/officeDocument/2006/relationships/hyperlink" Target="https://www.google.com/url?q=https://karyailham.com.my/index.php/picl/article/view/309&amp;amp;sa=D&amp;amp;source=editors&amp;amp;ust=1775320993982394&amp;amp;usg=AOvVaw0dg8i7afskTxa07gehOsKV" TargetMode="External"/>
  <Relationship Id="rId9" Type="http://schemas.openxmlformats.org/officeDocument/2006/relationships/hyperlink" Target="https://www.google.com/url?q=https://udlguidelines.cast.org/more/downloads/&amp;amp;sa=D&amp;amp;source=editors&amp;amp;ust=1775320993982687&amp;amp;usg=AOvVaw0QF9zCpGIuVeKdNy-Y36bW" TargetMode="External"/>
  <Relationship Id="rId10" Type="http://schemas.openxmlformats.org/officeDocument/2006/relationships/hyperlink" Target="https://www.google.com/url?q=https://arxiv.org/abs/2504.06928&amp;amp;sa=D&amp;amp;source=editors&amp;amp;ust=1775320993982925&amp;amp;usg=AOvVaw1gAr3lQU--GeGyoAddbD2C" TargetMode="External"/>
  <Relationship Id="rId11" Type="http://schemas.openxmlformats.org/officeDocument/2006/relationships/hyperlink" Target=" https://onlinelibrary.wiley.com/doi/full/10.1111/j.1365-2729.2010.00392.x" TargetMode="External"/>
  <Relationship Id="rId12" Type="http://schemas.openxmlformats.org/officeDocument/2006/relationships/hyperlink" Target=" https://www.tandfonline.com/doi/full/10.1080/08923647.2020.1858705" TargetMode="External"/>
  <Relationship Id="rId13" Type="http://schemas.openxmlformats.org/officeDocument/2006/relationships/hyperlink" Target="https://www.google.com/url?q=http://www.irrodl.org/index.php/irrodl/article/view/3985&amp;amp;sa=D&amp;amp;source=editors&amp;amp;ust=1775320993984666&amp;amp;usg=AOvVaw0GgxNdq3DWHW9y_fIoEuF5" TargetMode="External"/>
  <Relationship Id="rId14" Type="http://schemas.openxmlformats.org/officeDocument/2006/relationships/hyperlink" Target=" https://journals.sagepub.com/doi/abs/10.1177/016146811311501415" TargetMode="External"/>
  <Relationship Id="rId15" Type="http://schemas.openxmlformats.org/officeDocument/2006/relationships/hyperlink" Target="https://www.google.com/url?q=https://eric.ed.gov/?id%3DEJ1340664&amp;amp;sa=D&amp;amp;source=editors&amp;amp;ust=1775320993985772&amp;amp;usg=AOvVaw0Iv6OceEXr7a-5ea-4bWST" TargetMode="External"/>
  <Relationship Id="rId16" Type="http://schemas.openxmlformats.org/officeDocument/2006/relationships/hyperlink" Target="https://www.sciencedirect.com/science/article/pii/S1096751607000358" TargetMode="External"/>
  <Relationship Id="rId17" Type="http://schemas.openxmlformats.org/officeDocument/2006/relationships/hyperlink" Target="https://www.sciencedirect.com/science/article/pii/S1096751600000166" TargetMode="External"/>
  <Relationship Id="rId18" Type="http://schemas.openxmlformats.org/officeDocument/2006/relationships/hyperlink" Target=" https://www.tandfonline.com/doi/abs/10.1080/08923640109527071" TargetMode="External"/>
  <Relationship Id="rId19" Type="http://schemas.openxmlformats.org/officeDocument/2006/relationships/hyperlink" Target="https://www.google.com/url?q=https://page.ideo.com/design-thinking-edu-toolkit&amp;amp;sa=D&amp;amp;source=editors&amp;amp;ust=1775320993987994&amp;amp;usg=AOvVaw0PAd7X1EH9Ak43-1k8jnXJ" TargetMode="External"/>
  <Relationship Id="rId20" Type="http://schemas.openxmlformats.org/officeDocument/2006/relationships/hyperlink" Target="https://www.google.com/url?q=https://www.mdpi.com/2076-328X/15/6/808&amp;amp;sa=D&amp;amp;source=editors&amp;amp;ust=1775320993988401&amp;amp;usg=AOvVaw0z7UXYMVIDFv0BQ-vEL278" TargetMode="External"/>
  <Relationship Id="rId21" Type="http://schemas.openxmlformats.org/officeDocument/2006/relationships/hyperlink" Target="https://www.google.com/url?q=https://fayettesupport.wordpress.com/wp-content/uploads/2023/12/ubd-ascd-1.pdf&amp;amp;sa=D&amp;amp;source=editors&amp;amp;ust=1775320993988727&amp;amp;usg=AOvVaw3HfMT7fcNlD5qgIWgjnH0l" TargetMode="External"/>
  <Relationship Id="rId22" Type="http://schemas.openxmlformats.org/officeDocument/2006/relationships/hyperlink" Target="https://www.google.com/url?q=https://www.proquest.com/docview/3175025080?fromopenview%3Dtrue%26pq-origsite%3Dgscholar%26sourcetype%3DScholarly%2520Journals&amp;amp;sa=D&amp;amp;source=editors&amp;amp;ust=1775320993989588&amp;amp;usg=AOvVaw14EZZY5Hg1yGtAa0G4HoTP" TargetMode="External"/>
  <Relationship Id="rId23" Type="http://schemas.openxmlformats.org/officeDocument/2006/relationships/hyperlink" Target="https://www.google.com/url?q=https://www.academia.edu/download/53465242/Assessing_20Social_20Presence_20In_20Asynchronous_20Text-based_20Computer_20Conferencing.pdf&amp;amp;sa=D&amp;amp;source=editors&amp;amp;ust=1775320993990029&amp;amp;usg=AOvVaw0pB0h9t32Itg5VGsxGviMQ" TargetMode="External"/>
  <Relationship Id="rId24" Type="http://schemas.openxmlformats.org/officeDocument/2006/relationships/hyperlink" Target="https://link.springer.com/article/10.1007/BF02504769" TargetMode="External"/>
  <Relationship Id="rId25" Type="http://schemas.openxmlformats.org/officeDocument/2006/relationships/hyperlink" Target="https://www.google.com/url?q=https://www.academia.edu/download/1899948/JALN_socpres2_v9n3_swan.pdf&amp;amp;sa=D&amp;amp;source=editors&amp;amp;ust=1775320993991625&amp;amp;usg=AOvVaw055VGO3VaSALjmWOonOQW6" TargetMode="External"/>
  <Relationship Id="rId26" Type="http://schemas.openxmlformats.org/officeDocument/2006/relationships/hyperlink" Target="https://edtechbooks.org/promptbook/ai-supported-forum-autograder" TargetMode="External"/>
  <Relationship Id="rId2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2026-05-06T22:12:19.863Z</dcterms:created>
  <dcterms:modified xsi:type="dcterms:W3CDTF">2026-05-06T22:12:19.863Z</dcterms:modified>
</cp:coreProperties>
</file>