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Cell Potentials</w:t>
      </w:r>
    </w:p>
    <w:p>
      <w:pPr>
        <w:spacing w:lineRule="auto"/>
      </w:pPr>
      <w:r>
        <w:rPr/>
        <w:t xml:space="preserve">The property of potential, E, is the energy associated with the separation/transfer of charge. In electrochemistry, the potentials of cells and half-cells are thermodynamic quantities that reflect the driving force or the spontaneity of their redox processes. The cell potential of an electrochemical cell is the difference in between its cathode and anode. To permit easy sharing of half-cell potential data, the standard hydrogen electrode (SHE) is assigned a potential of exactly 0 V and used to define a single electrode potential for any given half-cell. The electrode potential of a half-cell, EX, is the cell potential of said half-cell acting as a cathode when connected to a SHE acting as an anode. When the half-cell is operating under standard state conditions, its potential is the standard electrode potential, E°X. Standard electrode potentials reflect the relative oxidizing strength of the half-reaction’s reactant, with stronger oxidants exhibiting larger (more positive) E°X values. Tabulations of standard electrode potentials may be used to compute standard cell potentials, E°cell, for many redox reactions. The arithmetic sign of a cell potential indicates the spontaneity of the cell reaction, with positive values for spontaneous reactions and negative values for nonspontaneous reactions (spontaneous in the reverse direction).</w:t>
      </w:r>
    </w:p>
    <w:p>
      <w:pPr>
        <w:pStyle w:val="Heading2"/>
        <w:spacing w:lineRule="auto"/>
      </w:pPr>
      <w:r>
        <w:rPr/>
        <w:t xml:space="preserve">36.1</w:t>
      </w:r>
      <w:r>
        <w:rPr/>
        <w:t xml:space="preserve"> Electrode and Cell Potentials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and relate the definitions of electrode and cell potentials</w:t>
      </w:r>
    </w:p>
    <w:p>
      <w:pPr>
        <w:numPr>
          <w:ilvl w:val="0"/>
          <w:numId w:val="1"/>
        </w:numPr>
        <w:spacing w:lineRule="auto"/>
      </w:pPr>
      <w:r>
        <w:rPr/>
        <w:t xml:space="preserve">Interpret electrode potentials in terms of relative oxidant and reductant strengths</w:t>
      </w:r>
    </w:p>
    <w:p>
      <w:pPr>
        <w:numPr>
          <w:ilvl w:val="0"/>
          <w:numId w:val="1"/>
        </w:numPr>
        <w:spacing w:lineRule="auto"/>
      </w:pPr>
      <w:r>
        <w:rPr/>
        <w:t xml:space="preserve">Calculate cell potentials and predict redox spontaneity using standard electrode potentials</w:t>
      </w:r>
    </w:p>
    <w:p>
      <w:pPr>
        <w:spacing w:lineRule="auto"/>
      </w:pPr>
      <w:r>
        <w:rPr/>
        <w:t xml:space="preserve">Unlike the spontaneous oxidation of copper by aqueous silver(I) ions described in section 17.2, immersing a copper wire in an aqueous solution of lead(II) ions yields no reaction. The two species, Ag</w:t>
      </w:r>
      <w:r>
        <w:rPr>
          <w:vertAlign w:val="superscript"/>
        </w:rPr>
        <w:t xml:space="preserve">+</w:t>
      </w:r>
      <w:r>
        <w:rPr/>
        <w:t xml:space="preserve">(aq)</w:t>
      </w:r>
      <w:r>
        <w:rPr/>
        <w:t xml:space="preserve"> and Pb</w:t>
      </w:r>
      <w:r>
        <w:rPr>
          <w:vertAlign w:val="superscript"/>
        </w:rPr>
        <w:t xml:space="preserve">2+</w:t>
      </w:r>
      <w:r>
        <w:rPr/>
        <w:t xml:space="preserve">(aq)</w:t>
      </w:r>
      <w:r>
        <w:rPr/>
        <w:t xml:space="preserve">, thus show a distinct difference in their redox activity towards copper: the silver ion spontaneously oxidized copper, but the lead ion did not. Electrochemical cells permit this relative redox activity to be quantified by an easily measured property, </w:t>
      </w:r>
      <w:r>
        <w:rPr/>
        <w:t xml:space="preserve">potential</w:t>
      </w:r>
      <w:r>
        <w:rPr/>
        <w:t xml:space="preserve">. This property is more commonly called </w:t>
      </w:r>
      <w:r>
        <w:rPr/>
        <w:t xml:space="preserve">voltage</w:t>
      </w:r>
      <w:r>
        <w:rPr/>
        <w:t xml:space="preserve"> when referenced in regard to electrical applications, and it is a measure of energy accompanying the transfer of charge. Potentials are measured in the volt unit, defined as one joule of energy per one coulomb of charge, V = J/C.</w:t>
      </w:r>
    </w:p>
    <w:p>
      <w:pPr>
        <w:spacing w:lineRule="auto"/>
      </w:pPr>
      <w:r>
        <w:rPr/>
        <w:t xml:space="preserve">When measured for purposes of electrochemistry, a potential reflects the driving force for a specific type of charge transfer process, namely, the transfer of electrons between redox reactants. Considering the nature of potential in this context, it is clear that the potential of a single half-cell or a single electrode can’t be measured; “transfer” of electrons requires both a donor and recipient, in this case a reductant and an oxidant, respectively. Instead, a half-cell potential may only be assessed relative to that of another half-cell. It is only the </w:t>
      </w:r>
      <w:r>
        <w:rPr/>
        <w:t xml:space="preserve">difference in potential</w:t>
      </w:r>
      <w:r>
        <w:rPr/>
        <w:t xml:space="preserve"> between two half-cells that may be measured, and these measured potentials are called </w:t>
      </w:r>
      <w:r>
        <w:rPr/>
        <w:t xml:space="preserve">cell potentials, E</w:t>
      </w:r>
      <w:r>
        <w:rPr>
          <w:vertAlign w:val="subscript"/>
        </w:rPr>
        <w:t xml:space="preserve">cell</w:t>
      </w:r>
      <w:r>
        <w:rPr/>
        <w:t xml:space="preserve">, defined as</w:t>
      </w:r>
    </w:p>
    <w:p>
      <w:pPr>
        <w:spacing w:lineRule="auto"/>
      </w:pPr>
      <w:r>
        <w:rPr/>
        <w:t xml:space="preserve">Ecell=Ecathode−EanodeEcell=Ecathode−Eanode</w:t>
      </w:r>
    </w:p>
    <w:p>
      <w:pPr>
        <w:spacing w:lineRule="auto"/>
      </w:pPr>
      <w:r>
        <w:rPr/>
        <w:t xml:space="preserve">where E</w:t>
      </w:r>
      <w:r>
        <w:rPr>
          <w:vertAlign w:val="subscript"/>
        </w:rPr>
        <w:t xml:space="preserve">cathode</w:t>
      </w:r>
      <w:r>
        <w:rPr/>
        <w:t xml:space="preserve"> and E</w:t>
      </w:r>
      <w:r>
        <w:rPr>
          <w:vertAlign w:val="subscript"/>
        </w:rPr>
        <w:t xml:space="preserve">anode</w:t>
      </w:r>
      <w:r>
        <w:rPr/>
        <w:t xml:space="preserve"> are the potentials of two different half-cells functioning as specified in the subscripts. As for other thermodynamic quantities, the </w:t>
      </w:r>
      <w:r>
        <w:rPr/>
        <w:t xml:space="preserve">standard cell potential, E°</w:t>
      </w:r>
      <w:r>
        <w:rPr>
          <w:vertAlign w:val="subscript"/>
        </w:rPr>
        <w:t xml:space="preserve">cell</w:t>
      </w:r>
      <w:r>
        <w:rPr/>
        <w:t xml:space="preserve">, is a cell potential measured when both half-cells are under standard-state conditions (1 </w:t>
      </w:r>
      <w:r>
        <w:rPr/>
        <w:t xml:space="preserve">M</w:t>
      </w:r>
      <w:r>
        <w:rPr/>
        <w:t xml:space="preserve"> concentrations, 1 bar pressures, 298 K):</w:t>
      </w:r>
    </w:p>
    <w:p>
      <w:pPr>
        <w:spacing w:lineRule="auto"/>
      </w:pPr>
      <w:r>
        <w:rPr/>
        <w:t xml:space="preserve">E°cell=E°cathode−E°anodeE°cell=E°cathode−E°anode</w:t>
      </w:r>
    </w:p>
    <w:p>
      <w:pPr>
        <w:spacing w:lineRule="auto"/>
      </w:pPr>
      <w:r>
        <w:rPr/>
        <w:t xml:space="preserve">To simplify the collection and sharing of potential data for half-reactions, the scientific community has designated one particular half-cell to serve as a universal reference for cell potential measurements, assigning it a potential of exactly 0 V. This half-cell is the </w:t>
      </w:r>
      <w:r>
        <w:rPr/>
        <w:t xml:space="preserve">standard hydrogen electrode (SHE)</w:t>
      </w:r>
      <w:r>
        <w:rPr/>
        <w:t xml:space="preserve"> and it is based on half-reaction below:</w:t>
      </w:r>
    </w:p>
    <w:p>
      <w:pPr>
        <w:spacing w:lineRule="auto"/>
      </w:pPr>
      <w:r>
        <w:rPr/>
        <w:t xml:space="preserve">2H+(aq)+2e−⟶H2(g)2H+(aq)+2e−⟶H2(g)</w:t>
      </w:r>
    </w:p>
    <w:p>
      <w:pPr>
        <w:spacing w:lineRule="auto"/>
      </w:pPr>
      <w:r>
        <w:rPr/>
        <w:t xml:space="preserve">A typical SHE contains an inert platinum electrode immersed in precisely 1 </w:t>
      </w:r>
      <w:r>
        <w:rPr/>
        <w:t xml:space="preserve">M</w:t>
      </w:r>
      <w:r>
        <w:rPr/>
        <w:t xml:space="preserve"> aqueous H</w:t>
      </w:r>
      <w:r>
        <w:rPr>
          <w:vertAlign w:val="superscript"/>
        </w:rPr>
        <w:t xml:space="preserve">+</w:t>
      </w:r>
      <w:r>
        <w:rPr/>
        <w:t xml:space="preserve"> and a stream of bubbling H</w:t>
      </w:r>
      <w:r>
        <w:rPr>
          <w:vertAlign w:val="subscript"/>
        </w:rPr>
        <w:t xml:space="preserve">2</w:t>
      </w:r>
      <w:r>
        <w:rPr/>
        <w:t xml:space="preserve"> gas at 1 bar pressure, all maintained at a temperature of 298 K (see </w:t>
      </w:r>
      <w:hyperlink r:id="rId6">
        <w:r>
          <w:rPr>
            <w:rStyle w:val="Hyperlink"/>
          </w:rPr>
          <w:t xml:space="preserve">Figure 36.1</w:t>
        </w:r>
      </w:hyperlink>
      <w:r>
        <w:rPr/>
        <w:t xml:space="preserve">).</w:t>
      </w:r>
    </w:p>
    <w:p>
      <w:pPr>
        <w:spacing w:lineRule="auto"/>
      </w:pPr>
      <w:r>
        <w:rPr/>
        <w:t xml:space="preserve">Figure </w:t>
      </w:r>
      <w:r>
        <w:rPr/>
        <w:t xml:space="preserve">36.1</w:t>
      </w:r>
    </w:p>
    <w:p>
      <w:pPr>
        <w:spacing w:lineRule="auto"/>
      </w:pPr>
      <w:r>
        <w:rPr/>
        <w:t xml:space="preserve">A standard hydrogen electrode (SHE).</w:t>
      </w:r>
    </w:p>
    <w:p>
      <w:pPr>
        <w:spacing w:lineRule="auto"/>
      </w:pPr>
      <w:r>
        <w:rPr/>
        <w:t xml:space="preserve">The assigned potential of the SHE permits the definition of a conveniently measured potential for a single half-cell. The </w:t>
      </w:r>
      <w:r>
        <w:rPr/>
        <w:t xml:space="preserve">electrode potential (E</w:t>
      </w:r>
      <w:r>
        <w:rPr>
          <w:vertAlign w:val="subscript"/>
        </w:rPr>
        <w:t xml:space="preserve">X</w:t>
      </w:r>
      <w:r>
        <w:rPr/>
        <w:t xml:space="preserve">)</w:t>
      </w:r>
      <w:r>
        <w:rPr/>
        <w:t xml:space="preserve"> for a half-cell </w:t>
      </w:r>
      <w:r>
        <w:rPr/>
        <w:t xml:space="preserve">X</w:t>
      </w:r>
      <w:r>
        <w:rPr/>
        <w:t xml:space="preserve"> is defined as </w:t>
      </w:r>
      <w:r>
        <w:rPr/>
        <w:t xml:space="preserve">the potential measured for a cell comprised of X acting as cathode and the SHE acting as anode</w:t>
      </w:r>
      <w:r>
        <w:rPr/>
        <w:t xml:space="preserve">:</w:t>
      </w:r>
    </w:p>
    <w:p>
      <w:pPr>
        <w:spacing w:lineRule="auto"/>
      </w:pPr>
      <w:r>
        <w:rPr/>
        <w:t xml:space="preserve">Ecell=EX−ESHEESHE=0V(defined)Ecell=EXEcell=EX−ESHEESHE=0V(defined)Ecell=EX</w:t>
      </w:r>
    </w:p>
    <w:p>
      <w:pPr>
        <w:spacing w:lineRule="auto"/>
      </w:pPr>
      <w:r>
        <w:rPr/>
        <w:t xml:space="preserve">When the half-cell </w:t>
      </w:r>
      <w:r>
        <w:rPr/>
        <w:t xml:space="preserve">X</w:t>
      </w:r>
      <w:r>
        <w:rPr/>
        <w:t xml:space="preserve"> is under standard-state conditions, its potential is the </w:t>
      </w:r>
      <w:r>
        <w:rPr/>
        <w:t xml:space="preserve">standard electrode potential, E°</w:t>
      </w:r>
      <w:r>
        <w:rPr>
          <w:vertAlign w:val="subscript"/>
        </w:rPr>
        <w:t xml:space="preserve">X</w:t>
      </w:r>
      <w:r>
        <w:rPr/>
        <w:t xml:space="preserve">. Since the definition of cell potential requires the half-cells function as cathodes, these potentials are sometimes called </w:t>
      </w:r>
      <w:r>
        <w:rPr/>
        <w:t xml:space="preserve">standard reduction potentials</w:t>
      </w:r>
      <w:r>
        <w:rPr/>
        <w:t xml:space="preserve">.</w:t>
      </w:r>
    </w:p>
    <w:p>
      <w:pPr>
        <w:spacing w:lineRule="auto"/>
      </w:pPr>
      <w:r>
        <w:rPr/>
        <w:t xml:space="preserve">This approach to measuring electrode potentials is illustrated in </w:t>
      </w:r>
      <w:hyperlink r:id="rId7">
        <w:r>
          <w:rPr>
            <w:rStyle w:val="Hyperlink"/>
          </w:rPr>
          <w:t xml:space="preserve">Figure 36.2</w:t>
        </w:r>
      </w:hyperlink>
      <w:r>
        <w:rPr/>
        <w:t xml:space="preserve">, which depicts a cell comprised of an SHE connected to a copper(II)/copper(0) half-cell under standard-state conditions. A voltmeter in the external circuit allows measurement of the potential difference between the two half-cells. Since the Cu half-cell is designated as the cathode in the definition of cell potential, it is connected to the red (positive) input of the voltmeter, while the designated SHE anode is connected to the black (negative) input. These connections insure that the sign of the measured potential will be consistent with the sign conventions of electrochemistry per the various definitions discussed above. A cell potential of +0.337 V is measured, and so</w:t>
      </w:r>
    </w:p>
    <w:p>
      <w:pPr>
        <w:spacing w:lineRule="auto"/>
      </w:pPr>
      <w:r>
        <w:rPr/>
        <w:t xml:space="preserve">E°cell=E°Cu=+0.337VE°cell=E°Cu=+0.337V</w:t>
      </w:r>
    </w:p>
    <w:p>
      <w:pPr>
        <w:spacing w:lineRule="auto"/>
      </w:pPr>
      <w:r>
        <w:rPr/>
        <w:t xml:space="preserve">Tabulations of E° values for other half-cells measured in a similar fashion are available as reference literature to permit calculations of cell potentials and the prediction of the spontaneity of redox processes.</w:t>
      </w:r>
    </w:p>
    <w:p>
      <w:pPr>
        <w:spacing w:lineRule="auto"/>
      </w:pPr>
      <w:r>
        <w:rPr/>
        <w:t xml:space="preserve">Figure </w:t>
      </w:r>
    </w:p>
    <w:p>
      <w:pPr>
        <w:spacing w:lineRule="auto"/>
      </w:pPr>
      <w:r>
        <w:rPr/>
        <w:t xml:space="preserve">36.2</w:t>
      </w:r>
    </w:p>
    <w:p>
      <w:pPr>
        <w:spacing w:lineRule="auto"/>
      </w:pPr>
      <w:r>
        <w:rPr/>
        <w:t xml:space="preserve">A cell permitting experimental measurement of the standard electrode potential for the half-reaction </w:t>
      </w:r>
      <w:r>
        <w:rPr/>
        <w:t xml:space="preserve">Cu2+(aq)+2e−⟶Cu(s)Cu2+(aq)+2e−⟶Cu(s)</w:t>
      </w:r>
    </w:p>
    <w:p>
      <w:pPr>
        <w:spacing w:lineRule="auto"/>
      </w:pPr>
      <w:hyperlink r:id="rId8">
        <w:r>
          <w:rPr>
            <w:rStyle w:val="Hyperlink"/>
          </w:rPr>
          <w:t xml:space="preserve">Table 36.1</w:t>
        </w:r>
      </w:hyperlink>
      <w:r>
        <w:rPr/>
        <w:t xml:space="preserve"> provides a listing of standard electrode potentials for a selection of half-reactions in numerical order, and a more extensive alphabetical listing is given in </w:t>
      </w:r>
      <w:hyperlink r:id="rId9">
        <w:r>
          <w:rPr>
            <w:rStyle w:val="Hyperlink"/>
          </w:rPr>
          <w:t xml:space="preserve">Appendix L</w:t>
        </w:r>
      </w:hyperlink>
      <w:r>
        <w:rPr/>
        <w:t xml:space="preserve">.</w:t>
      </w:r>
    </w:p>
    <w:p>
      <w:pPr>
        <w:spacing w:lineRule="auto"/>
      </w:pPr>
      <w:r>
        <w:rPr/>
        <w:t xml:space="preserve">Table </w:t>
      </w:r>
      <w:r>
        <w:rPr/>
        <w:t xml:space="preserve">36.3</w:t>
      </w:r>
    </w:p>
    <w:p>
      <w:pPr>
        <w:spacing w:lineRule="auto"/>
      </w:pPr>
      <w:r>
        <w:rPr/>
        <w:t xml:space="preserve">Selected Standard Reduction Potentials at 25 °C</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Half-Reaction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w:t>
            </w:r>
          </w:p>
          <w:p>
            <w:pPr>
              <w:spacing w:lineRule="auto"/>
            </w:pPr>
            <w:r>
              <w:rPr/>
              <w:t xml:space="preserve">° (V)</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F2(g)+2e−⟶2F−(aq)F2(g)+2e−⟶2F−(aq)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+2.866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PbO2(s)+SO42−(aq)+4H+(aq)+2e−⟶PbSO4(s)+2H2O(l)PbO2(s)+SO42−(aq)+4H+(aq)+2e−⟶PbSO4(s)+2H2O(l)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MnO4−(aq)+8H+(aq)+5e−⟶Mn2+(aq)+4H2O(l)MnO4−(aq)+8H+(aq)+5e−⟶Mn2+(aq)+4H2O(l)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+1.507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Au3+(aq)+3e−⟶Au(s)Au3+(aq)+3e−⟶Au(s)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+1.498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Cl2(g)+2e−⟶2Cl−(aq)Cl2(g)+2e−⟶2Cl−(aq)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+1.35827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O2(g)+4H+(aq)+4e−⟶2H2O(l)O2(g)+4H+(aq)+4e−⟶2H2O(l)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+1.229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Pt2+(aq)+2e−⟶Pt(s)Pt2+(aq)+2e−⟶Pt(s)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Br2(aq)+2e−⟶2Br−(aq)Br2(aq)+2e−⟶2Br−(aq)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+1.0873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Ag+(aq)+e−⟶Ag(s)Ag+(aq)+e−⟶Ag(s)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+0.7996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Hg22+(aq)+2e−⟶2Hg(l)Hg22+(aq)+2e−⟶2Hg(l)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+0.7973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Fe3+(aq)+e−⟶Fe2+(aq)Fe3+(aq)+e−⟶Fe2+(aq)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+0.771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MnO4−(aq)+2H2O(l)+3e−⟶MnO2(s)+4OH−(aq)MnO4−(aq)+2H2O(l)+3e−⟶MnO2(s)+4OH−(aq)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+0.558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I2(s)+2e−⟶2I−(aq)I2(s)+2e−⟶2I−(aq)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+0.5355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NiO2(s)+2H2O(l)+2e−⟶Ni(OH)2(s)+2OH−(aq)NiO2(s)+2H2O(l)+2e−⟶Ni(OH)2(s)+2OH−(aq)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Cu2+(aq)+2e−⟶Cu(s)Cu2+(aq)+2e−⟶Cu(s)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+0.34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Hg2Cl2(s)+2e−⟶2Hg(l)+2Cl−(aq)Hg2Cl2(s)+2e−⟶2Hg(l)+2Cl−(aq)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+0.26808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AgCl(s)+e−⟶Ag(s)+Cl−(aq)AgCl(s)+e−⟶Ag(s)+Cl−(aq)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+0.22233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Sn4+(aq)+2e−⟶Sn2+(aq)Sn4+(aq)+2e−⟶Sn2+(aq)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+0.151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2H+(aq)+2e−⟶H2(g)2H+(aq)+2e−⟶H2(g)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Pb2+(aq)+2e−⟶Pb(s)Pb2+(aq)+2e−⟶Pb(s)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−0.1262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Sn2+(aq)+2e−⟶Sn(s)Sn2+(aq)+2e−⟶Sn(s)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−0.1375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Ni2+(aq)+2e−⟶Ni(s)Ni2+(aq)+2e−⟶Ni(s)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−0.257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Co2+(aq)+2e−⟶Co(s)Co2+(aq)+2e−⟶Co(s)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PbSO4(s)+2e−⟶Pb(s)+SO42−(aq)PbSO4(s)+2e−⟶Pb(s)+SO42−(aq)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−0.3505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Cd2+(aq)+2e−⟶Cd(s)Cd2+(aq)+2e−⟶Cd(s)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−0.4030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Fe2+(aq)+2e−⟶Fe(s)Fe2+(aq)+2e−⟶Fe(s)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−0.447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Cr3+(aq)+3e−⟶Cr(s)Cr3+(aq)+3e−⟶Cr(s)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−0.744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Mn2+(aq)+2e−⟶Mn(s)Mn2+(aq)+2e−⟶Mn(s)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−1.185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Zn(OH)2(s)+2e−⟶Zn(s)+2OH−(aq)Zn(OH)2(s)+2e−⟶Zn(s)+2OH−(aq)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−1.245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Zn2+(aq)+2e−⟶Zn(s)Zn2+(aq)+2e−⟶Zn(s)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−0.7618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Al3+(aq)+3e−⟶Al(s)Al3+(aq)+3e−⟶Al(s)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−1.662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Mg2(aq)+2e−⟶Mg(s)Mg2(aq)+2e−⟶Mg(s)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−2.372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Na+(aq)+e−⟶Na(s)Na+(aq)+e−⟶Na(s)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−2.71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Ca2+(aq)+2e−⟶Ca(s)Ca2+(aq)+2e−⟶Ca(s)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−2.868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Ba2+(aq)+2e−⟶Ba(s)Ba2+(aq)+2e−⟶Ba(s)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−2.912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K+(aq)+e−⟶K(s)K+(aq)+e−⟶K(s)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−2.931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Li+(aq)+e−⟶Li(s)Li+(aq)+e−⟶Li(s)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−3.04</w:t>
            </w:r>
          </w:p>
        </w:tc>
      </w:tr>
    </w:tbl>
    <w:p>
      <w:pPr>
        <w:spacing w:lineRule="auto"/>
      </w:pPr>
      <w:r>
        <w:rPr/>
      </w:r>
    </w:p>
    <w:p>
      <w:pPr>
        <w:pStyle w:val="Heading3"/>
        <w:spacing w:lineRule="auto"/>
      </w:pPr>
      <w:r>
        <w:rPr/>
        <w:t xml:space="preserve">EXAMPLE </w:t>
      </w:r>
      <w:r>
        <w:rPr/>
        <w:t xml:space="preserve">36.1.1</w:t>
      </w:r>
    </w:p>
    <w:p>
      <w:pPr>
        <w:pStyle w:val="Heading4"/>
        <w:spacing w:lineRule="auto"/>
      </w:pPr>
      <w:r>
        <w:rPr/>
        <w:t xml:space="preserve">Calculating Standard Cell Potentials</w:t>
      </w:r>
    </w:p>
    <w:p>
      <w:pPr>
        <w:spacing w:lineRule="auto"/>
      </w:pPr>
      <w:r>
        <w:rPr/>
        <w:t xml:space="preserve">What is the standard potential of the galvanic cell shown in </w:t>
      </w:r>
    </w:p>
    <w:p>
      <w:pPr>
        <w:spacing w:lineRule="auto"/>
      </w:pPr>
      <w:hyperlink r:id="rId10">
        <w:r>
          <w:rPr>
            <w:rStyle w:val="Hyperlink"/>
          </w:rPr>
          <w:t xml:space="preserve">Figure 37.3</w:t>
        </w:r>
      </w:hyperlink>
    </w:p>
    <w:p>
      <w:pPr>
        <w:spacing w:lineRule="auto"/>
      </w:pPr>
      <w:r>
        <w:rPr/>
        <w:t xml:space="preserve">?</w:t>
      </w:r>
    </w:p>
    <w:p>
      <w:pPr>
        <w:pStyle w:val="Heading4"/>
        <w:spacing w:lineRule="auto"/>
      </w:pPr>
      <w:r>
        <w:rPr/>
        <w:t xml:space="preserve">Solution</w:t>
      </w:r>
    </w:p>
    <w:p>
      <w:pPr>
        <w:spacing w:lineRule="auto"/>
      </w:pPr>
      <w:r>
        <w:rPr/>
        <w:t xml:space="preserve">The cell in </w:t>
      </w:r>
    </w:p>
    <w:p>
      <w:pPr>
        <w:spacing w:lineRule="auto"/>
      </w:pPr>
      <w:hyperlink r:id="rId11">
        <w:r>
          <w:rPr>
            <w:rStyle w:val="Hyperlink"/>
          </w:rPr>
          <w:t xml:space="preserve">Figure 37.3</w:t>
        </w:r>
      </w:hyperlink>
    </w:p>
    <w:p>
      <w:pPr>
        <w:spacing w:lineRule="auto"/>
      </w:pPr>
      <w:r>
        <w:rPr/>
        <w:t xml:space="preserve"> is galvanic, the spontaneous cell reaction involving oxidation of its copper anode and reduction of silver(I) ions at its silver cathode:</w:t>
      </w:r>
    </w:p>
    <w:p>
      <w:pPr>
        <w:spacing w:lineRule="auto"/>
      </w:pPr>
      <w:r>
        <w:rPr/>
        <w:t xml:space="preserve">cell reaction:Cu(s)+2Ag+(aq)⟶Cu2+(aq)+2Ag(s)anode half-reaction:Cu(s)⟶Cu2+(aq)+2e−cathode half-reaction:2Ag+(aq)+2e−⟶2Ag(s)cell reaction:Cu(s)+2Ag+(aq)⟶Cu2+(aq)+2Ag(s)anode half-reaction:Cu(s)⟶Cu2+(aq)+2e−cathode half-reaction:2Ag+(aq)+2e−⟶2Ag(s)</w:t>
      </w:r>
    </w:p>
    <w:p>
      <w:pPr>
        <w:spacing w:lineRule="auto"/>
      </w:pPr>
      <w:r>
        <w:rPr/>
        <w:t xml:space="preserve">The standard cell potential computed as</w:t>
      </w:r>
    </w:p>
    <w:p>
      <w:pPr>
        <w:spacing w:lineRule="auto"/>
      </w:pPr>
      <w:r>
        <w:rPr/>
        <w:t xml:space="preserve">E°cell=E°cathode−E°anode=E°Ag−E°Cu=0.7996V−0.34V=+0.46VE°cell=E°cathode−E°anode=E°Ag−E°Cu=0.7996V−0.34V=+0.46V</w:t>
      </w:r>
    </w:p>
    <w:p>
      <w:pPr>
        <w:pStyle w:val="Heading4"/>
        <w:spacing w:lineRule="auto"/>
      </w:pPr>
      <w:r>
        <w:rPr/>
        <w:t xml:space="preserve">Check Your Learning</w:t>
      </w:r>
    </w:p>
    <w:p>
      <w:pPr>
        <w:spacing w:lineRule="auto"/>
      </w:pPr>
      <w:r>
        <w:rPr/>
        <w:t xml:space="preserve">What is the standard cell potential expected if the silver cathode half-cell in </w:t>
      </w:r>
    </w:p>
    <w:p>
      <w:pPr>
        <w:spacing w:lineRule="auto"/>
      </w:pPr>
      <w:hyperlink r:id="rId12">
        <w:r>
          <w:rPr>
            <w:rStyle w:val="Hyperlink"/>
          </w:rPr>
          <w:t xml:space="preserve">Figure 36.3</w:t>
        </w:r>
      </w:hyperlink>
    </w:p>
    <w:p>
      <w:pPr>
        <w:spacing w:lineRule="auto"/>
      </w:pPr>
      <w:r>
        <w:rPr/>
        <w:t xml:space="preserve"> is replaced with a lead half-cell: </w:t>
      </w:r>
    </w:p>
    <w:p>
      <w:pPr>
        <w:spacing w:lineRule="auto"/>
      </w:pPr>
      <w:r>
        <w:rPr/>
        <w:t xml:space="preserve">Pb2+(aq)+2e−⟶Pb(s)Pb2+(aq)+2e−⟶Pb(s)</w:t>
      </w:r>
    </w:p>
    <w:p>
      <w:pPr>
        <w:spacing w:lineRule="auto"/>
      </w:pPr>
      <w:r>
        <w:rPr/>
        <w:t xml:space="preserve">?</w:t>
      </w:r>
    </w:p>
    <w:p>
      <w:pPr>
        <w:pStyle w:val="Heading3"/>
        <w:spacing w:lineRule="auto"/>
      </w:pPr>
      <w:r>
        <w:rPr/>
        <w:t xml:space="preserve">Answer</w:t>
      </w:r>
    </w:p>
    <w:p>
      <w:pPr>
        <w:spacing w:lineRule="auto"/>
      </w:pPr>
      <w:r>
        <w:rPr/>
        <w:t xml:space="preserve">−0. 47 V</w:t>
      </w:r>
    </w:p>
    <w:p>
      <w:pPr>
        <w:pStyle w:val="Heading3"/>
        <w:spacing w:lineRule="auto"/>
      </w:pPr>
      <w:r>
        <w:rPr/>
        <w:t xml:space="preserve">36.1.2</w:t>
      </w:r>
      <w:r>
        <w:rPr/>
        <w:t xml:space="preserve"> Interpreting Electrode and Cell Potentials</w:t>
      </w:r>
    </w:p>
    <w:p>
      <w:pPr>
        <w:spacing w:lineRule="auto"/>
      </w:pPr>
      <w:r>
        <w:rPr/>
        <w:t xml:space="preserve">Thinking carefully about the definitions of cell and electrode potentials and the observations of spontaneous redox change presented thus far, a significant relation is noted. The previous section described the spontaneous oxidation of copper by aqueous silver(I) ions, but no observed reaction with aqueous lead(II) ions. Results of the calculations in </w:t>
      </w:r>
      <w:hyperlink r:id="rId13">
        <w:r>
          <w:rPr>
            <w:rStyle w:val="Hyperlink"/>
          </w:rPr>
          <w:t xml:space="preserve">Example 36.1</w:t>
        </w:r>
      </w:hyperlink>
      <w:r>
        <w:rPr/>
        <w:t xml:space="preserve"> have just shown </w:t>
      </w:r>
      <w:r>
        <w:rPr/>
        <w:t xml:space="preserve">the spontaneous process is described by a positive cell potential</w:t>
      </w:r>
      <w:r>
        <w:rPr/>
        <w:t xml:space="preserve"> while </w:t>
      </w:r>
      <w:r>
        <w:rPr/>
        <w:t xml:space="preserve">the nonspontaneous process exhibits a negative cell potential</w:t>
      </w:r>
      <w:r>
        <w:rPr/>
        <w:t xml:space="preserve">. And so, with regard to the relative effectiveness (“strength”) with which aqueous Ag</w:t>
      </w:r>
      <w:r>
        <w:rPr>
          <w:vertAlign w:val="superscript"/>
        </w:rPr>
        <w:t xml:space="preserve">+</w:t>
      </w:r>
      <w:r>
        <w:rPr/>
        <w:t xml:space="preserve"> and Pb</w:t>
      </w:r>
      <w:r>
        <w:rPr>
          <w:vertAlign w:val="superscript"/>
        </w:rPr>
        <w:t xml:space="preserve">2+</w:t>
      </w:r>
      <w:r>
        <w:rPr/>
        <w:t xml:space="preserve"> ions oxidize Cu under standard conditions, </w:t>
      </w:r>
      <w:r>
        <w:rPr/>
        <w:t xml:space="preserve">the stronger oxidant is the one exhibiting the greater standard electrode potential, E°</w:t>
      </w:r>
      <w:r>
        <w:rPr/>
        <w:t xml:space="preserve">. Since by convention electrode potentials are for reduction processes, an increased value of </w:t>
      </w:r>
      <w:r>
        <w:rPr/>
        <w:t xml:space="preserve">E°</w:t>
      </w:r>
      <w:r>
        <w:rPr/>
        <w:t xml:space="preserve"> corresponds to an increased driving force behind the reduction of the species (hence increased effectiveness of its action as an </w:t>
      </w:r>
      <w:r>
        <w:rPr/>
        <w:t xml:space="preserve">oxidizing agent</w:t>
      </w:r>
      <w:r>
        <w:rPr/>
        <w:t xml:space="preserve"> on some other species). Negative values for electrode potentials are simply a consequence of assigning a value of 0 V to the SHE, indicating the reactant of the half-reaction is a weaker oxidant than aqueous hydrogen ions.</w:t>
      </w:r>
    </w:p>
    <w:p>
      <w:pPr>
        <w:spacing w:lineRule="auto"/>
      </w:pPr>
      <w:r>
        <w:rPr/>
        <w:t xml:space="preserve">Applying this logic to the numerically ordered listing of standard electrode potentials in </w:t>
      </w:r>
      <w:hyperlink r:id="rId14">
        <w:r>
          <w:rPr>
            <w:rStyle w:val="Hyperlink"/>
          </w:rPr>
          <w:t xml:space="preserve">Table 36.1</w:t>
        </w:r>
      </w:hyperlink>
      <w:r>
        <w:rPr/>
        <w:t xml:space="preserve"> shows this listing to be likewise in order of the oxidizing strength of the half-reaction’s reactant species, decreasing from strongest oxidant (most positive </w:t>
      </w:r>
      <w:r>
        <w:rPr/>
        <w:t xml:space="preserve">E</w:t>
      </w:r>
      <w:r>
        <w:rPr/>
        <w:t xml:space="preserve">°) to weakest oxidant (most negative </w:t>
      </w:r>
      <w:r>
        <w:rPr/>
        <w:t xml:space="preserve">E</w:t>
      </w:r>
      <w:r>
        <w:rPr/>
        <w:t xml:space="preserve">°). Predictions regarding the spontaneity of redox reactions under standard state conditions can then be easily made by simply comparing the relative positions of their table entries. By definition, </w:t>
      </w:r>
      <w:r>
        <w:rPr/>
        <w:t xml:space="preserve">E</w:t>
      </w:r>
      <w:r>
        <w:rPr/>
        <w:t xml:space="preserve">°</w:t>
      </w:r>
      <w:r>
        <w:rPr>
          <w:vertAlign w:val="subscript"/>
        </w:rPr>
        <w:t xml:space="preserve">cell</w:t>
      </w:r>
      <w:r>
        <w:rPr/>
        <w:t xml:space="preserve"> is positive when </w:t>
      </w:r>
      <w:r>
        <w:rPr/>
        <w:t xml:space="preserve">E</w:t>
      </w:r>
      <w:r>
        <w:rPr/>
        <w:t xml:space="preserve">°</w:t>
      </w:r>
      <w:r>
        <w:rPr>
          <w:vertAlign w:val="subscript"/>
        </w:rPr>
        <w:t xml:space="preserve">cathode</w:t>
      </w:r>
      <w:r>
        <w:rPr/>
        <w:t xml:space="preserve"> &gt; </w:t>
      </w:r>
      <w:r>
        <w:rPr/>
        <w:t xml:space="preserve">E</w:t>
      </w:r>
      <w:r>
        <w:rPr/>
        <w:t xml:space="preserve">°</w:t>
      </w:r>
      <w:r>
        <w:rPr>
          <w:vertAlign w:val="subscript"/>
        </w:rPr>
        <w:t xml:space="preserve">anode</w:t>
      </w:r>
      <w:r>
        <w:rPr/>
        <w:t xml:space="preserve">, and so any redox reaction in which the oxidant’s entry is above the reductant’s entry is predicted to be spontaneous.</w:t>
      </w:r>
    </w:p>
    <w:p>
      <w:pPr>
        <w:spacing w:lineRule="auto"/>
      </w:pPr>
      <w:r>
        <w:rPr/>
        <w:t xml:space="preserve">Reconsideration of the two redox reactions in </w:t>
      </w:r>
      <w:hyperlink r:id="rId15">
        <w:r>
          <w:rPr>
            <w:rStyle w:val="Hyperlink"/>
          </w:rPr>
          <w:t xml:space="preserve">Example 36.1</w:t>
        </w:r>
      </w:hyperlink>
      <w:r>
        <w:rPr/>
        <w:t xml:space="preserve"> provides support for this fact. The entry for the silver(I)/silver(0) half-reaction is above that for the copper(II)/copper(0) half-reaction, and so the oxidation of Cu by Ag</w:t>
      </w:r>
      <w:r>
        <w:rPr>
          <w:vertAlign w:val="superscript"/>
        </w:rPr>
        <w:t xml:space="preserve">+</w:t>
      </w:r>
      <w:r>
        <w:rPr/>
        <w:t xml:space="preserve"> is predicted to be spontaneous (</w:t>
      </w:r>
      <w:r>
        <w:rPr/>
        <w:t xml:space="preserve">E</w:t>
      </w:r>
      <w:r>
        <w:rPr/>
        <w:t xml:space="preserve">°</w:t>
      </w:r>
      <w:r>
        <w:rPr>
          <w:vertAlign w:val="subscript"/>
        </w:rPr>
        <w:t xml:space="preserve">cathode</w:t>
      </w:r>
      <w:r>
        <w:rPr/>
        <w:t xml:space="preserve"> &gt; </w:t>
      </w:r>
      <w:r>
        <w:rPr/>
        <w:t xml:space="preserve">E</w:t>
      </w:r>
      <w:r>
        <w:rPr/>
        <w:t xml:space="preserve">°</w:t>
      </w:r>
      <w:r>
        <w:rPr>
          <w:vertAlign w:val="subscript"/>
        </w:rPr>
        <w:t xml:space="preserve">anode</w:t>
      </w:r>
      <w:r>
        <w:rPr/>
        <w:t xml:space="preserve"> and so </w:t>
      </w:r>
      <w:r>
        <w:rPr/>
        <w:t xml:space="preserve">E</w:t>
      </w:r>
      <w:r>
        <w:rPr/>
        <w:t xml:space="preserve">°</w:t>
      </w:r>
      <w:r>
        <w:rPr>
          <w:vertAlign w:val="subscript"/>
        </w:rPr>
        <w:t xml:space="preserve">cell</w:t>
      </w:r>
      <w:r>
        <w:rPr/>
        <w:t xml:space="preserve"> &gt; 0). Conversely, the entry for the lead(II)/lead(0) half-cell is beneath that for copper(II)/copper(0), and the oxidation of Cu by Pb</w:t>
      </w:r>
      <w:r>
        <w:rPr>
          <w:vertAlign w:val="superscript"/>
        </w:rPr>
        <w:t xml:space="preserve">2+</w:t>
      </w:r>
      <w:r>
        <w:rPr/>
        <w:t xml:space="preserve"> is nonspontaneous (</w:t>
      </w:r>
      <w:r>
        <w:rPr/>
        <w:t xml:space="preserve">E</w:t>
      </w:r>
      <w:r>
        <w:rPr/>
        <w:t xml:space="preserve">°</w:t>
      </w:r>
      <w:r>
        <w:rPr>
          <w:vertAlign w:val="subscript"/>
        </w:rPr>
        <w:t xml:space="preserve">cathode</w:t>
      </w:r>
      <w:r>
        <w:rPr/>
        <w:t xml:space="preserve"> &lt; </w:t>
      </w:r>
      <w:r>
        <w:rPr/>
        <w:t xml:space="preserve">E</w:t>
      </w:r>
      <w:r>
        <w:rPr/>
        <w:t xml:space="preserve">°</w:t>
      </w:r>
      <w:r>
        <w:rPr>
          <w:vertAlign w:val="subscript"/>
        </w:rPr>
        <w:t xml:space="preserve">anode</w:t>
      </w:r>
      <w:r>
        <w:rPr/>
        <w:t xml:space="preserve"> and so </w:t>
      </w:r>
      <w:r>
        <w:rPr/>
        <w:t xml:space="preserve">E</w:t>
      </w:r>
      <w:r>
        <w:rPr/>
        <w:t xml:space="preserve">°</w:t>
      </w:r>
      <w:r>
        <w:rPr>
          <w:vertAlign w:val="subscript"/>
        </w:rPr>
        <w:t xml:space="preserve">cell</w:t>
      </w:r>
      <w:r>
        <w:rPr/>
        <w:t xml:space="preserve"> &lt; 0).</w:t>
      </w:r>
    </w:p>
    <w:p>
      <w:pPr>
        <w:spacing w:lineRule="auto"/>
      </w:pPr>
      <w:r>
        <w:rPr/>
        <w:t xml:space="preserve">Recalling the chapter on thermodynamics, the spontaneities of the forward and reverse reactions of a reversible process show a reciprocal relationship: if a process is spontaneous in one direction, it is non-spontaneous in the opposite direction. As an indicator of spontaneity for redox reactions, the potential of a cell reaction shows a consequential relationship in its arithmetic sign. The spontaneous oxidation of copper by lead(II) ions is </w:t>
      </w:r>
      <w:r>
        <w:rPr/>
        <w:t xml:space="preserve">not</w:t>
      </w:r>
      <w:r>
        <w:rPr/>
        <w:t xml:space="preserve"> observed,</w:t>
      </w:r>
    </w:p>
    <w:p>
      <w:pPr>
        <w:spacing w:lineRule="auto"/>
      </w:pPr>
      <w:r>
        <w:rPr/>
        <w:t xml:space="preserve">Cu(s)+Pb2+(aq)⟶Cu2+(aq)+Pb(s)E°forward=−0.47V(negative, non-spontaneous)Cu(s)+Pb2+(aq)⟶Cu2+(aq)+Pb(s)E°forward=−0.47V(negative, non-spontaneous)</w:t>
      </w:r>
    </w:p>
    <w:p>
      <w:pPr>
        <w:spacing w:lineRule="auto"/>
      </w:pPr>
      <w:r>
        <w:rPr/>
        <w:t xml:space="preserve">and so the reverse reaction, the oxidation of lead by copper(II) ions, is predicted to occur spontaneously:</w:t>
      </w:r>
    </w:p>
    <w:p>
      <w:pPr>
        <w:spacing w:lineRule="auto"/>
      </w:pPr>
      <w:r>
        <w:rPr/>
        <w:t xml:space="preserve">Pb(s)+Cu2+(aq)⟶Pb2+(aq)+Cu(s)E°forward=+0.47V(positive, spontaneous)Pb(s)+Cu2+(aq)⟶Pb2+(aq)+Cu(s)E°forward=+0.47V(positive, spontaneous)</w:t>
      </w:r>
    </w:p>
    <w:p>
      <w:pPr>
        <w:spacing w:lineRule="auto"/>
      </w:pPr>
      <w:r>
        <w:rPr/>
        <w:t xml:space="preserve">Note that reversing the direction of a redox reaction effectively interchanges the identities of the cathode and anode half-reactions, and so the cell potential is calculated from electrode potentials in the reverse subtraction order than that for the forward reaction. In practice, a voltmeter would report a potential of −0.47 V with its red and black inputs connected to the Pb and Cu electrodes, respectively. If the inputs were swapped, the reported voltage would be +0.47 V.</w:t>
      </w:r>
    </w:p>
    <w:p>
      <w:pPr>
        <w:pStyle w:val="Heading3"/>
        <w:spacing w:lineRule="auto"/>
      </w:pPr>
      <w:r>
        <w:rPr/>
        <w:t xml:space="preserve">EXAMPLE </w:t>
      </w:r>
      <w:r>
        <w:rPr/>
        <w:t xml:space="preserve">36.1.3</w:t>
      </w:r>
    </w:p>
    <w:p>
      <w:pPr>
        <w:pStyle w:val="Heading4"/>
        <w:spacing w:lineRule="auto"/>
      </w:pPr>
      <w:r>
        <w:rPr/>
        <w:t xml:space="preserve">Predicting Redox Spontaneity</w:t>
      </w:r>
    </w:p>
    <w:p>
      <w:pPr>
        <w:spacing w:lineRule="auto"/>
      </w:pPr>
      <w:r>
        <w:rPr/>
        <w:t xml:space="preserve">Are aqueous iron(II) ions predicted to spontaneously oxidize elemental chromium under standard state conditions? Assume the half-reactions to be those available in </w:t>
      </w:r>
    </w:p>
    <w:p>
      <w:pPr>
        <w:spacing w:lineRule="auto"/>
      </w:pPr>
      <w:hyperlink r:id="rId16">
        <w:r>
          <w:rPr>
            <w:rStyle w:val="Hyperlink"/>
          </w:rPr>
          <w:t xml:space="preserve">Table 36.1</w:t>
        </w:r>
      </w:hyperlink>
    </w:p>
    <w:p>
      <w:pPr>
        <w:spacing w:lineRule="auto"/>
      </w:pPr>
      <w:r>
        <w:rPr/>
        <w:t xml:space="preserve">.</w:t>
      </w:r>
    </w:p>
    <w:p>
      <w:pPr>
        <w:pStyle w:val="Heading4"/>
        <w:spacing w:lineRule="auto"/>
      </w:pPr>
      <w:r>
        <w:rPr/>
        <w:t xml:space="preserve">Solution</w:t>
      </w:r>
    </w:p>
    <w:p>
      <w:pPr>
        <w:spacing w:lineRule="auto"/>
      </w:pPr>
      <w:r>
        <w:rPr/>
        <w:t xml:space="preserve">Referring to the tabulated half-reactions, the redox reaction in question can be represented by the equations below:</w:t>
      </w:r>
    </w:p>
    <w:p>
      <w:pPr>
        <w:spacing w:lineRule="auto"/>
      </w:pPr>
      <w:r>
        <w:rPr/>
        <w:t xml:space="preserve">Cr(s)+Fe2+(aq)⟶Cr3+(aq)+Fe(s)Cr(s)+Fe2+(aq)⟶Cr3+(aq)+Fe(s)</w:t>
      </w:r>
    </w:p>
    <w:p>
      <w:pPr>
        <w:spacing w:lineRule="auto"/>
      </w:pPr>
      <w:r>
        <w:rPr/>
        <w:t xml:space="preserve">The entry for the putative oxidant, Fe</w:t>
      </w:r>
      <w:r>
        <w:rPr>
          <w:vertAlign w:val="superscript"/>
        </w:rPr>
        <w:t xml:space="preserve">2+</w:t>
      </w:r>
      <w:r>
        <w:rPr/>
        <w:t xml:space="preserve">, appears </w:t>
      </w:r>
      <w:r>
        <w:rPr/>
        <w:t xml:space="preserve">above</w:t>
      </w:r>
      <w:r>
        <w:rPr/>
        <w:t xml:space="preserve"> the entry for the reductant, Cr, and so a spontaneous reaction is predicted per the quick approach described above. Supporting this predication by calculating the standard cell potential for this reaction gives</w:t>
      </w:r>
    </w:p>
    <w:p>
      <w:pPr>
        <w:spacing w:lineRule="auto"/>
      </w:pPr>
      <w:r>
        <w:rPr/>
        <w:t xml:space="preserve">E°cell=E°cathode−E°anode=E°Fe(II)−E°Cr=−0.447V−−0.744V=+0.297VE°cell=E°cathode−E°anode=E°Fe(II)−E°Cr=−0.447V−−0.744V=+0.297V</w:t>
      </w:r>
    </w:p>
    <w:p>
      <w:pPr>
        <w:spacing w:lineRule="auto"/>
      </w:pPr>
      <w:r>
        <w:rPr/>
        <w:t xml:space="preserve">The positive value for the standard cell potential indicates the process is spontaneous under standard state conditions.</w:t>
      </w:r>
    </w:p>
    <w:p>
      <w:pPr>
        <w:pStyle w:val="Heading4"/>
        <w:spacing w:lineRule="auto"/>
      </w:pPr>
      <w:r>
        <w:rPr/>
        <w:t xml:space="preserve">Check Your Learning</w:t>
      </w:r>
    </w:p>
    <w:p>
      <w:pPr>
        <w:spacing w:lineRule="auto"/>
      </w:pPr>
      <w:r>
        <w:rPr/>
        <w:t xml:space="preserve">Use the data in </w:t>
      </w:r>
    </w:p>
    <w:p>
      <w:pPr>
        <w:spacing w:lineRule="auto"/>
      </w:pPr>
      <w:hyperlink r:id="rId17">
        <w:r>
          <w:rPr>
            <w:rStyle w:val="Hyperlink"/>
          </w:rPr>
          <w:t xml:space="preserve">Table 36.1</w:t>
        </w:r>
      </w:hyperlink>
    </w:p>
    <w:p>
      <w:pPr>
        <w:spacing w:lineRule="auto"/>
      </w:pPr>
      <w:r>
        <w:rPr/>
        <w:t xml:space="preserve"> to predict the spontaneity of the oxidation of bromide ion by molecular iodine under standard state conditions, supporting the prediction by calculating the standard cell potential for the reaction. Repeat for the oxidation of iodide ion by molecular bromine.</w:t>
      </w:r>
    </w:p>
    <w:p>
      <w:pPr>
        <w:pStyle w:val="Heading3"/>
        <w:spacing w:lineRule="auto"/>
      </w:pPr>
      <w:r>
        <w:rPr/>
        <w:t xml:space="preserve">Answer</w:t>
      </w:r>
    </w:p>
    <w:p>
      <w:pPr>
        <w:spacing w:lineRule="auto"/>
      </w:pPr>
      <w:r>
        <w:rPr/>
        <w:t xml:space="preserve">I2(s)+2Br−(aq)⟶2I−(aq)+Br2(l)E°cell=–0.5518V(nonspontaneous)Br2(s)+2I−(aq)⟶2Br−(aq)+I2(l)E°cell=+0.5518V(spontaneous)I2(s)+2Br−(aq)⟶2I−(aq)+Br2(l)E°cell=–0.5518V(nonspontaneous)Br2(s)+2I−(aq)⟶2Br−(aq)+I2(l)E°cell=+0.5518V(spontaneous)</w:t>
      </w:r>
    </w:p>
    <w:p>
      <w:pPr>
        <w:pStyle w:val="Heading2"/>
        <w:spacing w:lineRule="auto"/>
      </w:pPr>
      <w:r>
        <w:rPr/>
        <w:t xml:space="preserve">36.2</w:t>
      </w:r>
      <w:r>
        <w:rPr/>
        <w:t xml:space="preserve"> Potential, Free Energy, and Equilibrium</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Explain the relations between potential, free energy change, and equilibrium constants</w:t>
      </w:r>
    </w:p>
    <w:p>
      <w:pPr>
        <w:numPr>
          <w:ilvl w:val="0"/>
          <w:numId w:val="2"/>
        </w:numPr>
        <w:spacing w:lineRule="auto"/>
      </w:pPr>
      <w:r>
        <w:rPr/>
        <w:t xml:space="preserve">Perform calculations involving the relations between cell potentials, free energy changes, and equilibrium</w:t>
      </w:r>
    </w:p>
    <w:p>
      <w:pPr>
        <w:spacing w:lineRule="auto"/>
      </w:pPr>
      <w:r>
        <w:rPr/>
        <w:t xml:space="preserve">So far in this chapter, the relationship between the cell potential and reaction </w:t>
      </w:r>
      <w:r>
        <w:rPr/>
        <w:t xml:space="preserve">spontaneity</w:t>
      </w:r>
      <w:r>
        <w:rPr/>
        <w:t xml:space="preserve"> has been described, suggesting a link to the free energy change for the reaction (see chapter on thermodynamics). The interpretation of potentials as measures of oxidant </w:t>
      </w:r>
      <w:r>
        <w:rPr/>
        <w:t xml:space="preserve">strength</w:t>
      </w:r>
      <w:r>
        <w:rPr/>
        <w:t xml:space="preserve"> was presented, bringing to mind similar measures of acid-base strength as reflected in equilibrium constants (see the chapter on acid-base equilibria). This section provides a summary of the relationships between potential and the related thermodynamic properties ΔG and K.</w:t>
      </w:r>
    </w:p>
    <w:p>
      <w:pPr>
        <w:pStyle w:val="Heading3"/>
        <w:spacing w:lineRule="auto"/>
      </w:pPr>
      <w:r>
        <w:rPr/>
        <w:t xml:space="preserve">36.2.1</w:t>
      </w:r>
      <w:r>
        <w:rPr/>
        <w:t xml:space="preserve"> E° and ΔG°</w:t>
      </w:r>
    </w:p>
    <w:p>
      <w:pPr>
        <w:spacing w:lineRule="auto"/>
      </w:pPr>
      <w:r>
        <w:rPr/>
        <w:t xml:space="preserve">The standard free energy change of a process, Δ</w:t>
      </w:r>
      <w:r>
        <w:rPr/>
        <w:t xml:space="preserve">G</w:t>
      </w:r>
      <w:r>
        <w:rPr/>
        <w:t xml:space="preserve">°, was defined in a previous chapter as the maximum work that could be performed by a system, </w:t>
      </w:r>
      <w:r>
        <w:rPr/>
        <w:t xml:space="preserve">w</w:t>
      </w:r>
      <w:r>
        <w:rPr>
          <w:vertAlign w:val="subscript"/>
        </w:rPr>
        <w:t xml:space="preserve">max</w:t>
      </w:r>
      <w:r>
        <w:rPr/>
        <w:t xml:space="preserve">. In the case of a redox reaction taking place within a galvanic cell under standard state conditions, essentially all the work is associated with transferring the electrons from reductant-to-oxidant, </w:t>
      </w:r>
      <w:r>
        <w:rPr/>
        <w:t xml:space="preserve">w</w:t>
      </w:r>
      <w:r>
        <w:rPr>
          <w:vertAlign w:val="subscript"/>
        </w:rPr>
        <w:t xml:space="preserve">elec</w:t>
      </w:r>
      <w:r>
        <w:rPr/>
        <w:t xml:space="preserve">:</w:t>
      </w:r>
    </w:p>
    <w:p>
      <w:pPr>
        <w:spacing w:lineRule="auto"/>
      </w:pPr>
      <w:r>
        <w:rPr/>
        <w:t xml:space="preserve">ΔG°=wmax=welecΔG°=wmax=welec</w:t>
      </w:r>
    </w:p>
    <w:p>
      <w:pPr>
        <w:spacing w:lineRule="auto"/>
      </w:pPr>
      <w:r>
        <w:rPr/>
        <w:t xml:space="preserve">The work associated with transferring electrons is determined by the total amount of charge (coulombs) transferred and the cell potential:</w:t>
      </w:r>
    </w:p>
    <w:p>
      <w:pPr>
        <w:spacing w:lineRule="auto"/>
      </w:pPr>
      <w:r>
        <w:rPr/>
        <w:t xml:space="preserve">ΔG°=welec=−nFEcell°ΔG°=−nFEcell°ΔG°=welec=−nFEcell°ΔG°=−nFEcell°</w:t>
      </w:r>
    </w:p>
    <w:p>
      <w:pPr>
        <w:spacing w:lineRule="auto"/>
      </w:pPr>
      <w:r>
        <w:rPr/>
        <w:t xml:space="preserve">where </w:t>
      </w:r>
      <w:r>
        <w:rPr/>
        <w:t xml:space="preserve">n</w:t>
      </w:r>
      <w:r>
        <w:rPr/>
        <w:t xml:space="preserve"> is the number of moles of electrons transferred, </w:t>
      </w:r>
      <w:r>
        <w:rPr/>
        <w:t xml:space="preserve">F</w:t>
      </w:r>
      <w:r>
        <w:rPr/>
        <w:t xml:space="preserve"> is </w:t>
      </w:r>
      <w:r>
        <w:rPr>
          <w:b/>
        </w:rPr>
        <w:t xml:space="preserve">Faraday’s constant</w:t>
      </w:r>
      <w:r>
        <w:rPr/>
        <w:t xml:space="preserve">, and </w:t>
      </w:r>
      <w:r>
        <w:rPr/>
        <w:t xml:space="preserve">E</w:t>
      </w:r>
      <w:r>
        <w:rPr/>
        <w:t xml:space="preserve">°</w:t>
      </w:r>
      <w:r>
        <w:rPr>
          <w:vertAlign w:val="subscript"/>
        </w:rPr>
        <w:t xml:space="preserve">cell</w:t>
      </w:r>
      <w:r>
        <w:rPr/>
        <w:t xml:space="preserve"> is the standard cell potential. The relation between free energy change and standard cell potential confirms the sign conventions and spontaneity criteria previously discussed for both of these properties: spontaneous redox reactions exhibit positive potentials and negative free energy changes.</w:t>
      </w:r>
    </w:p>
    <w:p>
      <w:pPr>
        <w:pStyle w:val="Heading3"/>
        <w:spacing w:lineRule="auto"/>
      </w:pPr>
      <w:r>
        <w:rPr/>
        <w:t xml:space="preserve">36.2.2</w:t>
      </w:r>
      <w:r>
        <w:rPr/>
        <w:t xml:space="preserve"> E° and K</w:t>
      </w:r>
    </w:p>
    <w:p>
      <w:pPr>
        <w:spacing w:lineRule="auto"/>
      </w:pPr>
      <w:r>
        <w:rPr/>
        <w:t xml:space="preserve">Combining a previously derived relation between ΔG° and K (see the chapter on thermodynamics) and the equation above relating ΔG° and </w:t>
      </w:r>
      <w:r>
        <w:rPr/>
        <w:t xml:space="preserve">E</w:t>
      </w:r>
      <w:r>
        <w:rPr/>
        <w:t xml:space="preserve">°</w:t>
      </w:r>
      <w:r>
        <w:rPr>
          <w:vertAlign w:val="subscript"/>
        </w:rPr>
        <w:t xml:space="preserve">cell</w:t>
      </w:r>
      <w:r>
        <w:rPr/>
        <w:t xml:space="preserve"> yields the following:</w:t>
      </w:r>
    </w:p>
    <w:p>
      <w:pPr>
        <w:spacing w:lineRule="auto"/>
      </w:pPr>
      <w:r>
        <w:rPr/>
        <w:t xml:space="preserve">ΔG°=−RTlnK=−nFEcell°Ecell°=(RTnF)lnKΔG°=−RTlnK=−nFEcell°Ecell°=(RTnF)lnK</w:t>
      </w:r>
    </w:p>
    <w:p>
      <w:pPr>
        <w:spacing w:lineRule="auto"/>
      </w:pPr>
      <w:r>
        <w:rPr/>
        <w:t xml:space="preserve">This equation indicates redox reactions with large (positive) standard cell potentials will proceed far towards completion, reaching equilibrium when the majority of reactant has been converted to product. A summary of the relations between </w:t>
      </w:r>
      <w:r>
        <w:rPr/>
        <w:t xml:space="preserve">E</w:t>
      </w:r>
      <w:r>
        <w:rPr/>
        <w:t xml:space="preserve">°, Δ</w:t>
      </w:r>
      <w:r>
        <w:rPr/>
        <w:t xml:space="preserve">G</w:t>
      </w:r>
      <w:r>
        <w:rPr/>
        <w:t xml:space="preserve">° and </w:t>
      </w:r>
      <w:r>
        <w:rPr/>
        <w:t xml:space="preserve">K</w:t>
      </w:r>
      <w:r>
        <w:rPr/>
        <w:t xml:space="preserve"> is depicted in </w:t>
      </w:r>
      <w:hyperlink r:id="rId18">
        <w:r>
          <w:rPr>
            <w:rStyle w:val="Hyperlink"/>
          </w:rPr>
          <w:t xml:space="preserve">Figure 36.3</w:t>
        </w:r>
      </w:hyperlink>
      <w:r>
        <w:rPr/>
        <w:t xml:space="preserve">, and a table correlating reaction spontaneity to values of these properties is provided in </w:t>
      </w:r>
      <w:hyperlink r:id="rId19">
        <w:r>
          <w:rPr>
            <w:rStyle w:val="Hyperlink"/>
          </w:rPr>
          <w:t xml:space="preserve">Table 36.1</w:t>
        </w:r>
      </w:hyperlink>
      <w:r>
        <w:rPr/>
        <w:t xml:space="preserve">.</w:t>
      </w:r>
    </w:p>
    <w:p>
      <w:pPr>
        <w:spacing w:lineRule="auto"/>
      </w:pPr>
      <w:r>
        <w:rPr/>
        <w:t xml:space="preserve">Figure </w:t>
      </w:r>
      <w:r>
        <w:rPr/>
        <w:t xml:space="preserve">36.4</w:t>
      </w:r>
    </w:p>
    <w:p>
      <w:pPr>
        <w:spacing w:lineRule="auto"/>
      </w:pPr>
      <w:r>
        <w:rPr/>
        <w:t xml:space="preserve">Graphic depicting the relation between three important thermodynamic properties.</w:t>
      </w:r>
    </w:p>
    <w:p>
      <w:pPr>
        <w:spacing w:lineRule="auto"/>
      </w:pPr>
      <w:r>
        <w:rPr/>
        <w:t xml:space="preserve">Table </w:t>
      </w:r>
      <w:r>
        <w:rPr/>
        <w:t xml:space="preserve">36.5</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w:t>
            </w:r>
          </w:p>
          <w:p>
            <w:pPr>
              <w:spacing w:lineRule="auto"/>
            </w:pPr>
            <w:r>
              <w:rPr/>
              <w:t xml:space="preserve">°</w:t>
            </w:r>
          </w:p>
          <w:p>
            <w:pPr>
              <w:spacing w:lineRule="auto"/>
            </w:pPr>
            <w:r>
              <w:rPr>
                <w:vertAlign w:val="subscript"/>
              </w:rPr>
              <w:t xml:space="preserve">cell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&gt;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Reaction is spontaneous under standard conditions</w:t>
            </w:r>
          </w:p>
          <w:p>
            <w:pPr>
              <w:spacing w:lineRule="auto"/>
            </w:pPr>
            <w:r>
              <w:rPr/>
              <w:t xml:space="preserve">Products more abundant at equilibrium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&lt;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Reaction is non-spontaneous under standard conditions</w:t>
            </w:r>
          </w:p>
          <w:p>
            <w:pPr>
              <w:spacing w:lineRule="auto"/>
            </w:pPr>
            <w:r>
              <w:rPr/>
              <w:t xml:space="preserve">Reactants more abundant at equilibrium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Reaction is at equilibrium under standard conditions</w:t>
            </w:r>
          </w:p>
          <w:p>
            <w:pPr>
              <w:spacing w:lineRule="auto"/>
            </w:pPr>
            <w:r>
              <w:rPr/>
              <w:t xml:space="preserve">Reactants and products equally abundant</w:t>
            </w:r>
          </w:p>
        </w:tc>
      </w:tr>
    </w:tbl>
    <w:p>
      <w:pPr>
        <w:spacing w:lineRule="auto"/>
      </w:pPr>
      <w:r>
        <w:rPr/>
      </w:r>
    </w:p>
    <w:p>
      <w:pPr>
        <w:pStyle w:val="Heading3"/>
        <w:spacing w:lineRule="auto"/>
      </w:pPr>
      <w:r>
        <w:rPr/>
        <w:t xml:space="preserve">EXAMPLE </w:t>
      </w:r>
      <w:r>
        <w:rPr/>
        <w:t xml:space="preserve">36.2.3</w:t>
      </w:r>
    </w:p>
    <w:p>
      <w:pPr>
        <w:pStyle w:val="Heading4"/>
        <w:spacing w:lineRule="auto"/>
      </w:pPr>
      <w:r>
        <w:rPr/>
        <w:t xml:space="preserve">Equilibrium Constants, Standard Cell Potentials, and Standard Free Energy Changes</w:t>
      </w:r>
    </w:p>
    <w:p>
      <w:pPr>
        <w:spacing w:lineRule="auto"/>
      </w:pPr>
      <w:r>
        <w:rPr/>
        <w:t xml:space="preserve">Use data from </w:t>
      </w:r>
    </w:p>
    <w:p>
      <w:pPr>
        <w:spacing w:lineRule="auto"/>
      </w:pPr>
      <w:hyperlink r:id="rId20">
        <w:r>
          <w:rPr>
            <w:rStyle w:val="Hyperlink"/>
          </w:rPr>
          <w:t xml:space="preserve">Appendix L</w:t>
        </w:r>
      </w:hyperlink>
    </w:p>
    <w:p>
      <w:pPr>
        <w:spacing w:lineRule="auto"/>
      </w:pPr>
      <w:r>
        <w:rPr/>
        <w:t xml:space="preserve"> to calculate the standard cell potential, standard free energy change, and equilibrium constant for the following reaction at 25 °C. Comment on the spontaneity of the forward reaction and the composition of an equilibrium mixture of reactants and products.</w:t>
      </w:r>
    </w:p>
    <w:p>
      <w:pPr>
        <w:spacing w:lineRule="auto"/>
      </w:pPr>
      <w:r>
        <w:rPr/>
        <w:t xml:space="preserve">2Ag+(aq)+Fe(s)⇌2Ag(s)+Fe2+(aq)2Ag+(aq)+Fe(s)⇌2Ag(s)+Fe2+(aq)</w:t>
      </w:r>
    </w:p>
    <w:p>
      <w:pPr>
        <w:pStyle w:val="Heading4"/>
        <w:spacing w:lineRule="auto"/>
      </w:pPr>
      <w:r>
        <w:rPr/>
        <w:t xml:space="preserve">Solution</w:t>
      </w:r>
    </w:p>
    <w:p>
      <w:pPr>
        <w:spacing w:lineRule="auto"/>
      </w:pPr>
      <w:r>
        <w:rPr/>
        <w:t xml:space="preserve">The reaction involves an oxidation-reduction reaction, so the standard cell potential can be calculated using the data in </w:t>
      </w:r>
    </w:p>
    <w:p>
      <w:pPr>
        <w:spacing w:lineRule="auto"/>
      </w:pPr>
      <w:hyperlink r:id="rId21">
        <w:r>
          <w:rPr>
            <w:rStyle w:val="Hyperlink"/>
          </w:rPr>
          <w:t xml:space="preserve">Appendix L</w:t>
        </w:r>
      </w:hyperlink>
    </w:p>
    <w:p>
      <w:pPr>
        <w:spacing w:lineRule="auto"/>
      </w:pPr>
      <w:r>
        <w:rPr/>
        <w:t xml:space="preserve">.</w:t>
      </w:r>
    </w:p>
    <w:p>
      <w:pPr>
        <w:spacing w:lineRule="auto"/>
      </w:pPr>
      <w:r>
        <w:rPr/>
        <w:t xml:space="preserve">anode (oxidation):Fe(s)⟶Fe2+(aq)+2e−EFe2+/Fe°=−0.447 Vcathode (reduction):2×(Ag+(aq)+e−⟶Ag(s))EAg+/Ag°=0.7996 VEcell°=Ecathode°−Eanode°=EAg+/Ag°−EFe2+/Fe°=+1.247 Vanode (oxidation):Fe(s)⟶Fe2+(aq)+2e−EFe2+/Fe°=−0.447 Vcathode (reduction):2×(Ag+(aq)+e−⟶Ag(s))EAg+/Ag°=0.7996 VEcell°=Ecathode°−Eanode°=EAg+/Ag°−EFe2+/Fe°=+1.247 V</w:t>
      </w:r>
    </w:p>
    <w:p>
      <w:pPr>
        <w:spacing w:lineRule="auto"/>
      </w:pPr>
      <w:r>
        <w:rPr/>
        <w:t xml:space="preserve">With </w:t>
      </w:r>
      <w:r>
        <w:rPr/>
        <w:t xml:space="preserve">n</w:t>
      </w:r>
      <w:r>
        <w:rPr/>
        <w:t xml:space="preserve"> = 2, the equilibrium constant is then</w:t>
      </w:r>
    </w:p>
    <w:p>
      <w:pPr>
        <w:spacing w:lineRule="auto"/>
      </w:pPr>
      <w:r>
        <w:rPr/>
        <w:t xml:space="preserve">Ecell°=0.0592 VnlogKK=10n×Ecell°/0.0592 VK=102×1.247 V/0.0592 VK=1042.128K=1.3×1042Ecell°=0.0592 VnlogKK=10n×Ecell°/0.0592 VK=102×1.247 V/0.0592 VK=1042.128K=1.3×1042</w:t>
      </w:r>
    </w:p>
    <w:p>
      <w:pPr>
        <w:spacing w:lineRule="auto"/>
      </w:pPr>
      <w:r>
        <w:rPr/>
        <w:t xml:space="preserve">The standard free energy is then</w:t>
      </w:r>
    </w:p>
    <w:p>
      <w:pPr>
        <w:spacing w:lineRule="auto"/>
      </w:pPr>
      <w:r>
        <w:rPr/>
        <w:t xml:space="preserve">ΔG°=−nFEcell°ΔG°=−2×96,485Cmol×1.247JC=−240.6kJmolΔG°=−nFEcell°ΔG°=−2×96,485Cmol×1.247JC=−240.6kJmol</w:t>
      </w:r>
    </w:p>
    <w:p>
      <w:pPr>
        <w:spacing w:lineRule="auto"/>
      </w:pPr>
      <w:r>
        <w:rPr/>
        <w:t xml:space="preserve">The reaction is spontaneous, as indicated by a negative free energy change and a positive cell potential. The </w:t>
      </w:r>
      <w:r>
        <w:rPr/>
        <w:t xml:space="preserve">K</w:t>
      </w:r>
      <w:r>
        <w:rPr/>
        <w:t xml:space="preserve"> value is very large, indicating the reaction proceeds to near completion to yield an equilibrium mixture containing mostly products.</w:t>
      </w:r>
    </w:p>
    <w:p>
      <w:pPr>
        <w:pStyle w:val="Heading4"/>
        <w:spacing w:lineRule="auto"/>
      </w:pPr>
      <w:r>
        <w:rPr/>
        <w:t xml:space="preserve">Check Your Learning</w:t>
      </w:r>
    </w:p>
    <w:p>
      <w:pPr>
        <w:spacing w:lineRule="auto"/>
      </w:pPr>
      <w:r>
        <w:rPr/>
        <w:t xml:space="preserve">What is the standard free energy change and the equilibrium constant for the following reaction at room temperature? Is the reaction spontaneous?</w:t>
      </w:r>
    </w:p>
    <w:p>
      <w:pPr>
        <w:spacing w:lineRule="auto"/>
      </w:pPr>
      <w:r>
        <w:rPr/>
        <w:t xml:space="preserve">Sn(s)+2Cu2+(aq)⇌Sn2+(aq)+2Cu+(aq)Sn(s)+2Cu2+(aq)⇌Sn2+(aq)+2Cu+(aq)</w:t>
      </w:r>
    </w:p>
    <w:p>
      <w:pPr>
        <w:pStyle w:val="Heading3"/>
        <w:spacing w:lineRule="auto"/>
      </w:pPr>
      <w:r>
        <w:rPr/>
        <w:t xml:space="preserve">Answer</w:t>
      </w:r>
    </w:p>
    <w:p>
      <w:pPr>
        <w:spacing w:lineRule="auto"/>
      </w:pPr>
      <w:r>
        <w:rPr/>
        <w:t xml:space="preserve">Spontaneous; </w:t>
      </w:r>
      <w:r>
        <w:rPr/>
        <w:t xml:space="preserve">n</w:t>
      </w:r>
      <w:r>
        <w:rPr/>
        <w:t xml:space="preserve"> = 2; </w:t>
      </w:r>
      <w:r>
        <w:rPr/>
        <w:t xml:space="preserve">Ecell°=+0.291 V;Ecell°=+0.291 V;</w:t>
      </w:r>
      <w:r>
        <w:rPr/>
        <w:t xml:space="preserve">ΔG°=−56.2kJmol;ΔG°=−56.2kJmol;</w:t>
      </w:r>
      <w:r>
        <w:rPr/>
        <w:t xml:space="preserve">K</w:t>
      </w:r>
      <w:r>
        <w:rPr/>
        <w:t xml:space="preserve"> = 6.8 </w:t>
      </w:r>
      <w:r>
        <w:rPr/>
        <w:t xml:space="preserve">××</w:t>
      </w:r>
      <w:r>
        <w:rPr/>
        <w:t xml:space="preserve"> 10</w:t>
      </w:r>
      <w:r>
        <w:rPr>
          <w:vertAlign w:val="superscript"/>
        </w:rPr>
        <w:t xml:space="preserve">9</w:t>
      </w:r>
    </w:p>
    <w:p>
      <w:pPr>
        <w:spacing w:lineRule="auto"/>
      </w:pPr>
      <w:r>
        <w:rPr/>
        <w:t xml:space="preserve">Read this online at </w:t>
      </w:r>
      <w:hyperlink r:id="rId22">
        <w:r>
          <w:rPr>
            <w:rStyle w:val="Hyperlink"/>
          </w:rPr>
          <w:t xml:space="preserve">https://edtechbooks.org/general_college_chemistry_2/cell_potentials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36.1" TargetMode="External"/>
  <Relationship Id="rId7" Type="http://schemas.openxmlformats.org/officeDocument/2006/relationships/hyperlink" Target="#figure36.2" TargetMode="External"/>
  <Relationship Id="rId8" Type="http://schemas.openxmlformats.org/officeDocument/2006/relationships/hyperlink" Target="#table36.1" TargetMode="External"/>
  <Relationship Id="rId9" Type="http://schemas.openxmlformats.org/officeDocument/2006/relationships/hyperlink" Target="https://openstax.org/books/chemistry-atoms-first-2e/pages/l-standard-electrode-half-cell-potentials" TargetMode="External"/>
  <Relationship Id="rId10" Type="http://schemas.openxmlformats.org/officeDocument/2006/relationships/hyperlink" Target="#CNX_Chem_17_02_Galvanicel" TargetMode="External"/>
  <Relationship Id="rId11" Type="http://schemas.openxmlformats.org/officeDocument/2006/relationships/hyperlink" Target="#CNX_Chem_17_02_Galvanicel" TargetMode="External"/>
  <Relationship Id="rId12" Type="http://schemas.openxmlformats.org/officeDocument/2006/relationships/hyperlink" Target="#CNX_Chem_17_02_Galvanicel" TargetMode="External"/>
  <Relationship Id="rId13" Type="http://schemas.openxmlformats.org/officeDocument/2006/relationships/hyperlink" Target="#example36.1" TargetMode="External"/>
  <Relationship Id="rId14" Type="http://schemas.openxmlformats.org/officeDocument/2006/relationships/hyperlink" Target="#table36.1" TargetMode="External"/>
  <Relationship Id="rId15" Type="http://schemas.openxmlformats.org/officeDocument/2006/relationships/hyperlink" Target="#example36.1" TargetMode="External"/>
  <Relationship Id="rId16" Type="http://schemas.openxmlformats.org/officeDocument/2006/relationships/hyperlink" Target="#table36.1" TargetMode="External"/>
  <Relationship Id="rId17" Type="http://schemas.openxmlformats.org/officeDocument/2006/relationships/hyperlink" Target="#table36.1" TargetMode="External"/>
  <Relationship Id="rId18" Type="http://schemas.openxmlformats.org/officeDocument/2006/relationships/hyperlink" Target="#figure36.3" TargetMode="External"/>
  <Relationship Id="rId19" Type="http://schemas.openxmlformats.org/officeDocument/2006/relationships/hyperlink" Target="#table36.1" TargetMode="External"/>
  <Relationship Id="rId20" Type="http://schemas.openxmlformats.org/officeDocument/2006/relationships/hyperlink" Target="https://openstax.org/books/chemistry-atoms-first-2e/pages/l-standard-electrode-half-cell-potentials" TargetMode="External"/>
  <Relationship Id="rId21" Type="http://schemas.openxmlformats.org/officeDocument/2006/relationships/hyperlink" Target="https://openstax.org/books/chemistry-atoms-first-2e/pages/l-standard-electrode-half-cell-potentials" TargetMode="External"/>
  <Relationship Id="rId22" Type="http://schemas.openxmlformats.org/officeDocument/2006/relationships/hyperlink" Target="https://edtechbooks.org/general_college_chemistry_2/cell_potentials" TargetMode="External"/>
  <Relationship Id="rId2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